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EF" w:rsidRDefault="00B008EF" w:rsidP="00B008EF">
      <w:pPr>
        <w:jc w:val="center"/>
      </w:pPr>
      <w:r w:rsidRPr="00B81330">
        <w:rPr>
          <w:noProof/>
        </w:rPr>
        <w:drawing>
          <wp:inline distT="0" distB="0" distL="0" distR="0" wp14:anchorId="68B882CC" wp14:editId="097EC127">
            <wp:extent cx="3657600" cy="33642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EF" w:rsidRDefault="00B008EF" w:rsidP="00B008EF"/>
    <w:p w:rsidR="00B008EF" w:rsidRDefault="00B008EF" w:rsidP="00B008EF">
      <w:pPr>
        <w:rPr>
          <w:rFonts w:ascii="LitNusx" w:hAnsi="LitNusx"/>
          <w:b/>
          <w:bCs/>
          <w:sz w:val="40"/>
        </w:rPr>
      </w:pPr>
    </w:p>
    <w:p w:rsidR="00B008EF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iCs/>
          <w:sz w:val="40"/>
          <w:szCs w:val="40"/>
          <w:lang w:val="pt-BR"/>
        </w:rPr>
      </w:pPr>
    </w:p>
    <w:p w:rsidR="00B008EF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iCs/>
          <w:sz w:val="40"/>
          <w:szCs w:val="40"/>
          <w:lang w:val="pt-BR"/>
        </w:rPr>
      </w:pPr>
    </w:p>
    <w:p w:rsidR="00B008EF" w:rsidRPr="003E5C97" w:rsidRDefault="00B008EF" w:rsidP="00B008EF">
      <w:pPr>
        <w:jc w:val="center"/>
        <w:rPr>
          <w:rFonts w:ascii="AcadMtavr" w:hAnsi="AcadMtavr"/>
          <w:b/>
          <w:iCs/>
          <w:sz w:val="36"/>
          <w:szCs w:val="36"/>
          <w:lang w:val="pt-BR"/>
        </w:rPr>
      </w:pPr>
      <w:r w:rsidRPr="003E5C97">
        <w:rPr>
          <w:rFonts w:ascii="AcadMtavr" w:hAnsi="AcadMtavr"/>
          <w:b/>
          <w:iCs/>
          <w:sz w:val="36"/>
          <w:szCs w:val="36"/>
          <w:lang w:val="pt-BR"/>
        </w:rPr>
        <w:t>informacia saxelmwifo valis Sesaxeb</w:t>
      </w:r>
    </w:p>
    <w:p w:rsidR="00B008EF" w:rsidRPr="003E5C97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B008EF" w:rsidRPr="00084EBA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B008EF" w:rsidRPr="00084EBA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B008EF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B008EF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B008EF" w:rsidRPr="00084EBA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B008EF" w:rsidRPr="00084EBA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B008EF" w:rsidRPr="003E5C97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3E5C97">
        <w:rPr>
          <w:rFonts w:ascii="AcadMtavr" w:hAnsi="AcadMtavr"/>
          <w:b/>
          <w:bCs/>
          <w:sz w:val="26"/>
          <w:szCs w:val="26"/>
          <w:lang w:val="pt-BR"/>
        </w:rPr>
        <w:t>Tbilisi</w:t>
      </w:r>
    </w:p>
    <w:p w:rsidR="00B008EF" w:rsidRPr="003E5C97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</w:p>
    <w:p w:rsidR="00B008EF" w:rsidRDefault="00B008EF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3E5C97">
        <w:rPr>
          <w:rFonts w:ascii="AcadMtavr" w:hAnsi="AcadMtavr"/>
          <w:b/>
          <w:bCs/>
          <w:sz w:val="26"/>
          <w:szCs w:val="26"/>
          <w:lang w:val="pt-BR"/>
        </w:rPr>
        <w:t>201</w:t>
      </w:r>
      <w:r>
        <w:rPr>
          <w:rFonts w:ascii="AcadMtavr" w:hAnsi="AcadMtavr"/>
          <w:b/>
          <w:bCs/>
          <w:sz w:val="26"/>
          <w:szCs w:val="26"/>
          <w:lang w:val="pt-BR"/>
        </w:rPr>
        <w:t>8</w:t>
      </w:r>
    </w:p>
    <w:p w:rsidR="002612E7" w:rsidRDefault="002612E7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</w:p>
    <w:p w:rsidR="002612E7" w:rsidRDefault="002612E7" w:rsidP="00B008EF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bookmarkStart w:id="0" w:name="_GoBack"/>
      <w:bookmarkEnd w:id="0"/>
    </w:p>
    <w:p w:rsidR="00270120" w:rsidRPr="0057502A" w:rsidRDefault="00013D97" w:rsidP="00B5085B">
      <w:pPr>
        <w:spacing w:after="240"/>
        <w:jc w:val="center"/>
        <w:rPr>
          <w:rFonts w:ascii="Sylfaen" w:hAnsi="Sylfaen"/>
          <w:b/>
          <w:sz w:val="28"/>
          <w:lang w:val="ka-GE"/>
        </w:rPr>
      </w:pPr>
      <w:r w:rsidRPr="0057502A">
        <w:rPr>
          <w:rFonts w:ascii="Sylfaen" w:hAnsi="Sylfaen"/>
          <w:b/>
          <w:sz w:val="28"/>
          <w:lang w:val="ka-GE"/>
        </w:rPr>
        <w:lastRenderedPageBreak/>
        <w:t>სახელ</w:t>
      </w:r>
      <w:r w:rsidR="005A44F5" w:rsidRPr="0057502A">
        <w:rPr>
          <w:rFonts w:ascii="Sylfaen" w:hAnsi="Sylfaen"/>
          <w:b/>
          <w:sz w:val="28"/>
          <w:lang w:val="ka-GE"/>
        </w:rPr>
        <w:t>მ</w:t>
      </w:r>
      <w:r w:rsidRPr="0057502A">
        <w:rPr>
          <w:rFonts w:ascii="Sylfaen" w:hAnsi="Sylfaen"/>
          <w:b/>
          <w:sz w:val="28"/>
          <w:lang w:val="ka-GE"/>
        </w:rPr>
        <w:t>წ</w:t>
      </w:r>
      <w:r w:rsidR="005A44F5" w:rsidRPr="0057502A">
        <w:rPr>
          <w:rFonts w:ascii="Sylfaen" w:hAnsi="Sylfaen"/>
          <w:b/>
          <w:sz w:val="28"/>
          <w:lang w:val="ka-GE"/>
        </w:rPr>
        <w:t>იფო ვალი</w:t>
      </w:r>
    </w:p>
    <w:p w:rsidR="009B63F3" w:rsidRDefault="00CC46C4" w:rsidP="006F4202">
      <w:pPr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r w:rsidR="009B63F3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>ვალის ნაშთი 2017 წლის 31 დეკემბრის მდგომარეობით შეადგენს 16,956.3 მილიონ ლარს.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9B63F3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</w:t>
      </w:r>
      <w:r w:rsidR="00E63052">
        <w:rPr>
          <w:rFonts w:ascii="Sylfaen" w:hAnsi="Sylfaen"/>
          <w:szCs w:val="21"/>
          <w:shd w:val="clear" w:color="auto" w:fill="FFFFFF"/>
          <w:lang w:val="ka-GE"/>
        </w:rPr>
        <w:t>13</w:t>
      </w:r>
      <w:r w:rsidR="0056160F">
        <w:rPr>
          <w:rFonts w:ascii="Sylfaen" w:hAnsi="Sylfaen"/>
          <w:szCs w:val="21"/>
          <w:shd w:val="clear" w:color="auto" w:fill="FFFFFF"/>
          <w:lang w:val="ka-GE"/>
        </w:rPr>
        <w:t>,</w:t>
      </w:r>
      <w:r w:rsidR="00E63052">
        <w:rPr>
          <w:rFonts w:ascii="Sylfaen" w:hAnsi="Sylfaen"/>
          <w:szCs w:val="21"/>
          <w:shd w:val="clear" w:color="auto" w:fill="FFFFFF"/>
          <w:lang w:val="ka-GE"/>
        </w:rPr>
        <w:t>420</w:t>
      </w:r>
      <w:r w:rsidR="0056160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E17E10">
        <w:rPr>
          <w:rFonts w:ascii="Sylfaen" w:hAnsi="Sylfaen"/>
          <w:szCs w:val="21"/>
          <w:shd w:val="clear" w:color="auto" w:fill="FFFFFF"/>
          <w:lang w:val="ka-GE"/>
        </w:rPr>
        <w:t>8</w:t>
      </w:r>
      <w:r w:rsidR="008D1F2B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>მილიონ ლარს,</w:t>
      </w:r>
      <w:r w:rsidR="009B63F3">
        <w:rPr>
          <w:rFonts w:ascii="Sylfaen" w:hAnsi="Sylfaen"/>
          <w:szCs w:val="21"/>
          <w:shd w:val="clear" w:color="auto" w:fill="FFFFFF"/>
          <w:lang w:val="ka-GE"/>
        </w:rPr>
        <w:t xml:space="preserve"> ხოლო საშინაო ვალის ნაშთი 3,535.5 მილიონ ლარს.</w:t>
      </w:r>
    </w:p>
    <w:p w:rsidR="006F4202" w:rsidRPr="00361883" w:rsidRDefault="009B63F3" w:rsidP="009B63F3">
      <w:pPr>
        <w:ind w:firstLine="720"/>
        <w:jc w:val="both"/>
        <w:rPr>
          <w:rFonts w:ascii="Calibri" w:eastAsia="Times New Roman" w:hAnsi="Calibri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Sylfaen" w:hAnsi="Sylfaen"/>
          <w:szCs w:val="21"/>
          <w:shd w:val="clear" w:color="auto" w:fill="FFFFFF"/>
          <w:lang w:val="ka-GE"/>
        </w:rPr>
        <w:t>საგარეო ვალის ნაშთი, 13,420.8 მილიონი ლარი,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8D1F2B" w:rsidRPr="00F01A27">
        <w:rPr>
          <w:rFonts w:ascii="Sylfaen" w:hAnsi="Sylfaen"/>
          <w:szCs w:val="21"/>
          <w:shd w:val="clear" w:color="auto" w:fill="FFFFFF"/>
        </w:rPr>
        <w:t>7</w:t>
      </w:r>
      <w:r w:rsidR="00E63052">
        <w:rPr>
          <w:rFonts w:ascii="Sylfaen" w:hAnsi="Sylfaen"/>
          <w:szCs w:val="21"/>
          <w:shd w:val="clear" w:color="auto" w:fill="FFFFFF"/>
          <w:lang w:val="ka-GE"/>
        </w:rPr>
        <w:t>9</w:t>
      </w:r>
      <w:r w:rsidR="006F4202" w:rsidRPr="00F01A27">
        <w:rPr>
          <w:rFonts w:ascii="Sylfaen" w:hAnsi="Sylfaen"/>
          <w:szCs w:val="21"/>
          <w:shd w:val="clear" w:color="auto" w:fill="FFFFFF"/>
        </w:rPr>
        <w:t>%-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>
        <w:rPr>
          <w:rFonts w:ascii="Sylfaen" w:hAnsi="Sylfaen"/>
          <w:szCs w:val="21"/>
          <w:shd w:val="clear" w:color="auto" w:fill="FFFFFF"/>
          <w:lang w:val="ka-GE"/>
        </w:rPr>
        <w:t xml:space="preserve">საშუალო </w:t>
      </w:r>
      <w:r w:rsidR="00071A4F" w:rsidRPr="00F01A27">
        <w:rPr>
          <w:rFonts w:ascii="Sylfaen" w:hAnsi="Sylfaen"/>
          <w:szCs w:val="21"/>
          <w:shd w:val="clear" w:color="auto" w:fill="FFFFFF"/>
          <w:lang w:val="ka-GE"/>
        </w:rPr>
        <w:t xml:space="preserve">შეწონილი 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2A3C73" w:rsidRPr="00C126E1">
        <w:rPr>
          <w:rFonts w:ascii="Sylfaen" w:hAnsi="Sylfaen"/>
          <w:szCs w:val="21"/>
          <w:shd w:val="clear" w:color="auto" w:fill="FFFFFF"/>
          <w:lang w:val="ka-GE"/>
        </w:rPr>
        <w:t>21.</w:t>
      </w:r>
      <w:r w:rsidR="00E17E10">
        <w:rPr>
          <w:rFonts w:ascii="Sylfaen" w:hAnsi="Sylfaen"/>
          <w:szCs w:val="21"/>
          <w:shd w:val="clear" w:color="auto" w:fill="FFFFFF"/>
          <w:lang w:val="ka-GE"/>
        </w:rPr>
        <w:t>4</w:t>
      </w:r>
      <w:r w:rsidR="00C126E1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/>
          <w:szCs w:val="21"/>
          <w:shd w:val="clear" w:color="auto" w:fill="FFFFFF"/>
        </w:rPr>
        <w:t>წელს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</w:t>
      </w:r>
      <w:r w:rsidR="006F4202" w:rsidRPr="003F75A7">
        <w:rPr>
          <w:rFonts w:ascii="Sylfaen" w:hAnsi="Sylfaen"/>
          <w:szCs w:val="21"/>
          <w:shd w:val="clear" w:color="auto" w:fill="FFFFFF"/>
          <w:lang w:val="ka-GE"/>
        </w:rPr>
        <w:t xml:space="preserve">დაახლოებით </w:t>
      </w:r>
      <w:r w:rsidR="00DE4001" w:rsidRPr="003F75A7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3F75A7">
        <w:rPr>
          <w:rFonts w:ascii="Sylfaen" w:hAnsi="Sylfaen"/>
          <w:szCs w:val="21"/>
          <w:shd w:val="clear" w:color="auto" w:fill="FFFFFF"/>
          <w:lang w:val="ka-GE"/>
        </w:rPr>
        <w:t>8</w:t>
      </w:r>
      <w:r w:rsidR="003F75A7" w:rsidRPr="003F75A7">
        <w:rPr>
          <w:rFonts w:ascii="Sylfaen" w:hAnsi="Sylfaen"/>
          <w:szCs w:val="21"/>
          <w:shd w:val="clear" w:color="auto" w:fill="FFFFFF"/>
          <w:lang w:val="ka-GE"/>
        </w:rPr>
        <w:t>.3</w:t>
      </w:r>
      <w:r w:rsidR="00C126E1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სახელმწიფო საგარეო ვალის საშუალო შეწონილი საპროცენტო განაკვეთი შეადგენს </w:t>
      </w:r>
      <w:r w:rsidR="00CB36D7">
        <w:rPr>
          <w:rFonts w:ascii="Sylfaen" w:hAnsi="Sylfaen" w:cs="Sylfaen"/>
          <w:szCs w:val="21"/>
          <w:shd w:val="clear" w:color="auto" w:fill="FFFFFF"/>
          <w:lang w:val="ka-GE"/>
        </w:rPr>
        <w:t>2.</w:t>
      </w:r>
      <w:r w:rsidR="008D1F2B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E63052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57502A" w:rsidRDefault="006F4202" w:rsidP="006F4202">
      <w:pPr>
        <w:tabs>
          <w:tab w:val="left" w:pos="720"/>
        </w:tabs>
        <w:spacing w:after="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სახელ</w:t>
      </w:r>
      <w:r w:rsidR="0078542F"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მ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წიფო ვალის </w:t>
      </w:r>
      <w:r w:rsidRPr="0054322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სტრუქტურა </w:t>
      </w:r>
      <w:r w:rsidR="008D1F2B" w:rsidRPr="00543222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 w:rsidR="008D1F2B">
        <w:rPr>
          <w:rFonts w:ascii="Sylfaen" w:hAnsi="Sylfaen"/>
          <w:b/>
          <w:szCs w:val="18"/>
          <w:shd w:val="clear" w:color="auto" w:fill="FFFFFF"/>
          <w:lang w:val="ka-GE"/>
        </w:rPr>
        <w:t>7</w:t>
      </w:r>
      <w:r w:rsidR="008D1F2B" w:rsidRPr="00543222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CB36D7">
        <w:rPr>
          <w:rFonts w:ascii="Sylfaen" w:hAnsi="Sylfaen"/>
          <w:b/>
          <w:szCs w:val="18"/>
          <w:shd w:val="clear" w:color="auto" w:fill="FFFFFF"/>
          <w:lang w:val="ka-GE"/>
        </w:rPr>
        <w:t xml:space="preserve">წლის </w:t>
      </w:r>
      <w:r w:rsidR="0056160F">
        <w:rPr>
          <w:rFonts w:ascii="Sylfaen" w:hAnsi="Sylfaen"/>
          <w:b/>
          <w:szCs w:val="18"/>
          <w:shd w:val="clear" w:color="auto" w:fill="FFFFFF"/>
          <w:lang w:val="ka-GE"/>
        </w:rPr>
        <w:t>3</w:t>
      </w:r>
      <w:r w:rsidR="00E63052">
        <w:rPr>
          <w:rFonts w:ascii="Sylfaen" w:hAnsi="Sylfaen"/>
          <w:b/>
          <w:szCs w:val="18"/>
          <w:shd w:val="clear" w:color="auto" w:fill="FFFFFF"/>
          <w:lang w:val="ka-GE"/>
        </w:rPr>
        <w:t>1</w:t>
      </w:r>
      <w:r w:rsidR="0056160F" w:rsidRPr="00CB36D7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E63052" w:rsidRPr="00E63052">
        <w:rPr>
          <w:rFonts w:ascii="Sylfaen" w:hAnsi="Sylfaen"/>
          <w:b/>
          <w:szCs w:val="18"/>
          <w:shd w:val="clear" w:color="auto" w:fill="FFFFFF"/>
          <w:lang w:val="ka-GE"/>
        </w:rPr>
        <w:t>დეკემბრის</w:t>
      </w:r>
      <w:r w:rsidR="00E6305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251FC3">
        <w:rPr>
          <w:rFonts w:ascii="Sylfaen" w:hAnsi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6F4202">
      <w:pPr>
        <w:jc w:val="both"/>
        <w:rPr>
          <w:rFonts w:ascii="Sylfaen" w:hAnsi="Sylfaen"/>
          <w:lang w:val="ka-GE"/>
        </w:rPr>
      </w:pPr>
      <w:r w:rsidRPr="00AD0BC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12E7" w:rsidRPr="00DE4001" w:rsidRDefault="002612E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საშუალო შეწონილი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2612E7" w:rsidRPr="00DE4001" w:rsidRDefault="002612E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2612E7" w:rsidRPr="00DE4001" w:rsidRDefault="002612E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4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2612E7" w:rsidRPr="00DE4001" w:rsidRDefault="002612E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დარჩენილი </w:t>
                              </w:r>
                              <w:r w:rsidRPr="003F75A7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ვადიანობა</w:t>
                              </w:r>
                              <w:r w:rsidRPr="003F75A7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F75A7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3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2612E7" w:rsidRPr="00DE4001" w:rsidRDefault="002612E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საშუალო შეწონილი</w:t>
                        </w: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2612E7" w:rsidRPr="00DE4001" w:rsidRDefault="002612E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DE4001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2612E7" w:rsidRPr="00DE4001" w:rsidRDefault="002612E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DE4001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DE4001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4</w:t>
                        </w:r>
                        <w:r w:rsidRPr="00DE4001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2612E7" w:rsidRPr="00DE4001" w:rsidRDefault="002612E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დარჩენილი </w:t>
                        </w:r>
                        <w:r w:rsidRPr="003F75A7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ვადიანობა</w:t>
                        </w:r>
                        <w:r w:rsidRPr="003F75A7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3F75A7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3</w:t>
                        </w:r>
                        <w:r w:rsidRPr="00DE4001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57502A">
        <w:rPr>
          <w:rFonts w:ascii="Sylfaen" w:hAnsi="Sylfaen"/>
          <w:lang w:val="ka-GE"/>
        </w:rPr>
        <w:t xml:space="preserve"> </w:t>
      </w:r>
      <w:r w:rsidR="00DE4001">
        <w:rPr>
          <w:noProof/>
        </w:rPr>
        <w:drawing>
          <wp:inline distT="0" distB="0" distL="0" distR="0" wp14:anchorId="20933C21" wp14:editId="4B767450">
            <wp:extent cx="4218323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4202" w:rsidRPr="001C5235" w:rsidRDefault="002F5FB0" w:rsidP="006F4202">
      <w:pPr>
        <w:tabs>
          <w:tab w:val="left" w:pos="720"/>
        </w:tabs>
        <w:spacing w:after="120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8EEFE" wp14:editId="60D53627">
            <wp:simplePos x="0" y="0"/>
            <wp:positionH relativeFrom="column">
              <wp:posOffset>66675</wp:posOffset>
            </wp:positionH>
            <wp:positionV relativeFrom="paragraph">
              <wp:posOffset>1686560</wp:posOffset>
            </wp:positionV>
            <wp:extent cx="2466975" cy="1981200"/>
            <wp:effectExtent l="0" t="0" r="28575" b="0"/>
            <wp:wrapThrough wrapText="bothSides">
              <wp:wrapPolygon edited="0">
                <wp:start x="0" y="0"/>
                <wp:lineTo x="0" y="21392"/>
                <wp:lineTo x="21683" y="21392"/>
                <wp:lineTo x="21683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E8B52A1" wp14:editId="71EDC9DF">
            <wp:simplePos x="0" y="0"/>
            <wp:positionH relativeFrom="column">
              <wp:posOffset>3705225</wp:posOffset>
            </wp:positionH>
            <wp:positionV relativeFrom="paragraph">
              <wp:posOffset>1581785</wp:posOffset>
            </wp:positionV>
            <wp:extent cx="2247900" cy="2233295"/>
            <wp:effectExtent l="0" t="0" r="0" b="0"/>
            <wp:wrapTight wrapText="bothSides">
              <wp:wrapPolygon edited="0">
                <wp:start x="0" y="0"/>
                <wp:lineTo x="0" y="21373"/>
                <wp:lineTo x="21417" y="21373"/>
                <wp:lineTo x="21417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F2B" w:rsidRPr="0057502A">
        <w:rPr>
          <w:rFonts w:ascii="Sylfaen" w:hAnsi="Sylfaen"/>
          <w:szCs w:val="21"/>
          <w:shd w:val="clear" w:color="auto" w:fill="FFFFFF"/>
          <w:lang w:val="ka-GE"/>
        </w:rPr>
        <w:t>201</w:t>
      </w:r>
      <w:r w:rsidR="008D1F2B">
        <w:rPr>
          <w:rFonts w:ascii="Sylfaen" w:hAnsi="Sylfaen"/>
          <w:szCs w:val="21"/>
          <w:shd w:val="clear" w:color="auto" w:fill="FFFFFF"/>
          <w:lang w:val="ka-GE"/>
        </w:rPr>
        <w:t>7</w:t>
      </w:r>
      <w:r w:rsidR="008D1F2B" w:rsidRPr="0057502A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CB36D7" w:rsidRPr="00F01A27">
        <w:rPr>
          <w:rFonts w:ascii="Sylfaen" w:hAnsi="Sylfaen"/>
          <w:szCs w:val="21"/>
          <w:shd w:val="clear" w:color="auto" w:fill="FFFFFF"/>
          <w:lang w:val="ka-GE"/>
        </w:rPr>
        <w:t xml:space="preserve">წლის </w:t>
      </w:r>
      <w:r w:rsidR="00E63052">
        <w:rPr>
          <w:rFonts w:ascii="Sylfaen" w:hAnsi="Sylfaen"/>
          <w:szCs w:val="21"/>
          <w:shd w:val="clear" w:color="auto" w:fill="FFFFFF"/>
        </w:rPr>
        <w:t>31</w:t>
      </w:r>
      <w:r w:rsidR="00E63052">
        <w:rPr>
          <w:rFonts w:ascii="Sylfaen" w:hAnsi="Sylfaen"/>
          <w:szCs w:val="21"/>
          <w:shd w:val="clear" w:color="auto" w:fill="FFFFFF"/>
          <w:lang w:val="ka-GE"/>
        </w:rPr>
        <w:t xml:space="preserve"> დეკემბრის</w:t>
      </w:r>
      <w:r w:rsidR="00E6305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E17E10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D1F2B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სახელმწიფო საგარეო ვალის </w:t>
      </w:r>
      <w:r w:rsidR="006F4202" w:rsidRPr="009C1DED">
        <w:rPr>
          <w:rFonts w:ascii="Sylfaen" w:hAnsi="Sylfaen" w:cs="Sylfaen"/>
          <w:szCs w:val="21"/>
          <w:shd w:val="clear" w:color="auto" w:fill="FFFFFF"/>
        </w:rPr>
        <w:t xml:space="preserve">პორტფელის </w:t>
      </w:r>
      <w:r w:rsidR="00E17E10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E63052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% შედგება ფიქსირებული საპროცენტო განაკვეთის მქონე კრედიტებისგან. ეს გარემოება ხელს უწყობს საქართველოს სახელმწიფო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. სახელმ</w:t>
      </w:r>
      <w:r w:rsidR="00E569AC" w:rsidRPr="00F01A27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იფო საგარეო ვალის </w:t>
      </w:r>
      <w:r w:rsidR="00445CA6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სავალუტო ფონდის და აზიის განვითარების ბანკის ფინანსური რესურსების დიდი წილის გამო. </w:t>
      </w:r>
    </w:p>
    <w:p w:rsidR="00B7509F" w:rsidRDefault="00570C98" w:rsidP="006D6E25">
      <w:pPr>
        <w:tabs>
          <w:tab w:val="left" w:pos="360"/>
        </w:tabs>
        <w:rPr>
          <w:rFonts w:ascii="Sylfaen" w:hAnsi="Sylfaen"/>
        </w:rPr>
      </w:pPr>
      <w:r w:rsidRPr="0057502A">
        <w:rPr>
          <w:rFonts w:ascii="Sylfaen" w:hAnsi="Sylfaen"/>
          <w:lang w:val="ka-GE"/>
        </w:rPr>
        <w:t xml:space="preserve">  </w:t>
      </w:r>
    </w:p>
    <w:p w:rsidR="00A93CD1" w:rsidRDefault="00A93CD1" w:rsidP="006D6E25">
      <w:pPr>
        <w:tabs>
          <w:tab w:val="left" w:pos="360"/>
        </w:tabs>
        <w:rPr>
          <w:rFonts w:ascii="Sylfaen" w:hAnsi="Sylfaen"/>
        </w:rPr>
      </w:pPr>
    </w:p>
    <w:p w:rsidR="00A93CD1" w:rsidRPr="00A93CD1" w:rsidRDefault="00A93CD1" w:rsidP="006D6E25">
      <w:pPr>
        <w:tabs>
          <w:tab w:val="left" w:pos="360"/>
        </w:tabs>
        <w:rPr>
          <w:rFonts w:ascii="Sylfaen" w:hAnsi="Sylfaen"/>
        </w:rPr>
      </w:pPr>
    </w:p>
    <w:p w:rsidR="006042C4" w:rsidRDefault="006042C4" w:rsidP="00B14B51">
      <w:pPr>
        <w:tabs>
          <w:tab w:val="left" w:pos="360"/>
        </w:tabs>
        <w:spacing w:after="0"/>
        <w:jc w:val="center"/>
        <w:rPr>
          <w:rFonts w:ascii="Sylfaen" w:hAnsi="Sylfaen"/>
          <w:b/>
          <w:lang w:val="ka-GE"/>
        </w:rPr>
      </w:pPr>
    </w:p>
    <w:p w:rsidR="002F5FB0" w:rsidRDefault="002F5FB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071D1D" w:rsidP="00071D1D">
      <w:pPr>
        <w:tabs>
          <w:tab w:val="left" w:pos="360"/>
        </w:tabs>
        <w:spacing w:after="0"/>
        <w:jc w:val="center"/>
        <w:rPr>
          <w:rFonts w:ascii="Sylfaen" w:hAnsi="Sylfaen"/>
          <w:b/>
        </w:rPr>
      </w:pPr>
      <w:r w:rsidRPr="00B04141">
        <w:rPr>
          <w:rFonts w:ascii="Sylfaen" w:hAnsi="Sylfaen"/>
          <w:b/>
          <w:lang w:val="ka-GE"/>
        </w:rPr>
        <w:lastRenderedPageBreak/>
        <w:t xml:space="preserve">სახელმწიფო საგარეო ვალის სტრუქტურა - </w:t>
      </w:r>
      <w:r w:rsidR="008D1F2B" w:rsidRPr="00B04141">
        <w:rPr>
          <w:rFonts w:ascii="Sylfaen" w:hAnsi="Sylfaen"/>
          <w:b/>
          <w:lang w:val="ka-GE"/>
        </w:rPr>
        <w:t>201</w:t>
      </w:r>
      <w:r w:rsidR="008D1F2B">
        <w:rPr>
          <w:rFonts w:ascii="Sylfaen" w:hAnsi="Sylfaen"/>
          <w:b/>
          <w:lang w:val="ka-GE"/>
        </w:rPr>
        <w:t>7</w:t>
      </w:r>
      <w:r w:rsidR="008D1F2B" w:rsidRPr="00B04141">
        <w:rPr>
          <w:rFonts w:ascii="Sylfaen" w:hAnsi="Sylfaen"/>
          <w:b/>
          <w:lang w:val="ka-GE"/>
        </w:rPr>
        <w:t xml:space="preserve"> </w:t>
      </w:r>
      <w:r w:rsidR="00CB36D7" w:rsidRPr="00CB36D7">
        <w:rPr>
          <w:rFonts w:ascii="Sylfaen" w:hAnsi="Sylfaen"/>
          <w:b/>
          <w:lang w:val="ka-GE"/>
        </w:rPr>
        <w:t xml:space="preserve">წლის </w:t>
      </w:r>
      <w:r w:rsidR="002D22B9">
        <w:rPr>
          <w:rFonts w:ascii="Sylfaen" w:hAnsi="Sylfaen"/>
          <w:b/>
          <w:lang w:val="ka-GE"/>
        </w:rPr>
        <w:t>3</w:t>
      </w:r>
      <w:r w:rsidR="002F5FB0">
        <w:rPr>
          <w:rFonts w:ascii="Sylfaen" w:hAnsi="Sylfaen"/>
          <w:b/>
          <w:lang w:val="ka-GE"/>
        </w:rPr>
        <w:t>1</w:t>
      </w:r>
      <w:r w:rsidR="002D22B9">
        <w:rPr>
          <w:rFonts w:ascii="Sylfaen" w:hAnsi="Sylfaen"/>
          <w:b/>
          <w:lang w:val="ka-GE"/>
        </w:rPr>
        <w:t xml:space="preserve"> </w:t>
      </w:r>
      <w:r w:rsidR="002F5FB0">
        <w:rPr>
          <w:rFonts w:ascii="Sylfaen" w:hAnsi="Sylfaen"/>
          <w:b/>
          <w:lang w:val="ka-GE"/>
        </w:rPr>
        <w:t>დეკემბრის</w:t>
      </w:r>
      <w:r w:rsidR="008D1F2B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D1F2B" w:rsidRPr="00B04141">
        <w:rPr>
          <w:rFonts w:ascii="Sylfaen" w:hAnsi="Sylfaen"/>
          <w:b/>
          <w:lang w:val="ka-GE"/>
        </w:rPr>
        <w:t xml:space="preserve"> </w:t>
      </w:r>
      <w:r w:rsidRPr="00B04141">
        <w:rPr>
          <w:rFonts w:ascii="Sylfaen" w:hAnsi="Sylfaen"/>
          <w:b/>
          <w:lang w:val="ka-GE"/>
        </w:rPr>
        <w:t>მდგომარეობით</w:t>
      </w:r>
    </w:p>
    <w:p w:rsidR="00ED39B6" w:rsidRPr="00A93CD1" w:rsidRDefault="00ED39B6" w:rsidP="00071D1D">
      <w:pPr>
        <w:tabs>
          <w:tab w:val="left" w:pos="360"/>
        </w:tabs>
        <w:spacing w:after="0"/>
        <w:jc w:val="center"/>
        <w:rPr>
          <w:rFonts w:ascii="Sylfaen" w:hAnsi="Sylfaen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835"/>
        <w:gridCol w:w="1316"/>
        <w:gridCol w:w="1081"/>
        <w:gridCol w:w="1478"/>
        <w:gridCol w:w="1376"/>
        <w:gridCol w:w="1192"/>
      </w:tblGrid>
      <w:tr w:rsidR="002F5FB0" w:rsidRPr="002F5FB0" w:rsidTr="00262BF3">
        <w:trPr>
          <w:trHeight w:val="403"/>
          <w:tblHeader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კრედიტორი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კრედიტის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ვალუტა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ნაშთი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ათასი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   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აშშ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დოლარი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ნაშთი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ათასი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 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ლარი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საპროცენტო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განაკვეთი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62BF3" w:rsidRDefault="00262BF3" w:rsidP="002F5FB0">
            <w:pPr>
              <w:spacing w:after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საპროცენტო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განაკვეთი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31.12.2017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შეწონილი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საპროცენტო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განაკვეთი</w:t>
            </w:r>
          </w:p>
        </w:tc>
      </w:tr>
      <w:tr w:rsidR="002F5FB0" w:rsidRPr="002F5FB0" w:rsidTr="002F5FB0">
        <w:trPr>
          <w:trHeight w:val="330"/>
        </w:trPr>
        <w:tc>
          <w:tcPr>
            <w:tcW w:w="3129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i/>
                <w:iCs/>
                <w:sz w:val="12"/>
                <w:szCs w:val="12"/>
              </w:rPr>
              <w:t>სახელმწიფო</w:t>
            </w:r>
            <w:r w:rsidRPr="002F5FB0"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i/>
                <w:iCs/>
                <w:sz w:val="12"/>
                <w:szCs w:val="12"/>
              </w:rPr>
              <w:t>საგარეო</w:t>
            </w:r>
            <w:r w:rsidRPr="002F5FB0"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i/>
                <w:iCs/>
                <w:sz w:val="12"/>
                <w:szCs w:val="12"/>
              </w:rPr>
              <w:t>ვალი</w:t>
            </w:r>
          </w:p>
        </w:tc>
        <w:tc>
          <w:tcPr>
            <w:tcW w:w="131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  <w:t>5,177,390</w:t>
            </w:r>
          </w:p>
        </w:tc>
        <w:tc>
          <w:tcPr>
            <w:tcW w:w="108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  <w:t>13,420,829</w:t>
            </w:r>
          </w:p>
        </w:tc>
        <w:tc>
          <w:tcPr>
            <w:tcW w:w="147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2"/>
                <w:szCs w:val="12"/>
              </w:rPr>
            </w:pPr>
          </w:p>
        </w:tc>
        <w:tc>
          <w:tcPr>
            <w:tcW w:w="119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2"/>
                <w:szCs w:val="12"/>
              </w:rPr>
            </w:pPr>
          </w:p>
        </w:tc>
      </w:tr>
      <w:tr w:rsidR="00410C40" w:rsidRPr="00410C40" w:rsidTr="00462A0C">
        <w:trPr>
          <w:trHeight w:val="402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მრავალმხრივი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კრედიტორები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>3,850,489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>9,981,238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ასოციაცია</w:t>
            </w:r>
            <w:r w:rsidRPr="002F5FB0">
              <w:rPr>
                <w:rFonts w:ascii="Calibri" w:hAnsi="Calibri" w:cs="Calibri"/>
                <w:sz w:val="12"/>
                <w:szCs w:val="12"/>
              </w:rPr>
              <w:t>(WB - IDA)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131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880,726</w:t>
            </w:r>
          </w:p>
        </w:tc>
        <w:tc>
          <w:tcPr>
            <w:tcW w:w="108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2,283,018</w:t>
            </w:r>
          </w:p>
        </w:tc>
        <w:tc>
          <w:tcPr>
            <w:tcW w:w="14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13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11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0.128%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271,665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704,211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0.105%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9,750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25,273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2.15%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2.15%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071A4F" w:rsidRDefault="00071A4F" w:rsidP="00071A4F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071A4F">
              <w:rPr>
                <w:rFonts w:ascii="Sylfaen" w:hAnsi="Sylfaen" w:cs="Sylfaen"/>
                <w:sz w:val="12"/>
                <w:szCs w:val="12"/>
                <w:lang w:val="ka-GE"/>
              </w:rPr>
              <w:t xml:space="preserve">რეკონსტრუქციისა და </w:t>
            </w:r>
            <w:r w:rsidR="002F5FB0" w:rsidRPr="00071A4F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="002F5FB0" w:rsidRPr="00071A4F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071A4F">
              <w:rPr>
                <w:rFonts w:ascii="Sylfaen" w:hAnsi="Sylfaen" w:cs="Sylfaen"/>
                <w:sz w:val="12"/>
                <w:szCs w:val="12"/>
                <w:lang w:val="ka-GE"/>
              </w:rPr>
              <w:t>საერთაშორისო ბანკი(</w:t>
            </w:r>
            <w:r w:rsidR="002F5FB0" w:rsidRPr="00071A4F">
              <w:rPr>
                <w:rFonts w:ascii="Calibri" w:hAnsi="Calibri" w:cs="Calibri"/>
                <w:sz w:val="12"/>
                <w:szCs w:val="12"/>
              </w:rPr>
              <w:t>WB - IBRD)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109,939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284,984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 + Var. Spread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0.69%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189,294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490,687</w:t>
            </w:r>
          </w:p>
        </w:tc>
        <w:tc>
          <w:tcPr>
            <w:tcW w:w="147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LIBOR + Variable Spread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1.71%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0.063%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50,106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129,885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1.91%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0.018%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109,535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283,937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2.07%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0.044%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170,371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441,636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2.11%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0.069%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10,000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25,922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2.19%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40,484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104,942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2.23%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0.017%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15,871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41,141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2.28%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0.007%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8,071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20,923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2.37%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8,703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22,561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2.41%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58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2.47%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120,000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311,064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2.49%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0.058%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25,756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66,765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2.52%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0.013%</w:t>
            </w:r>
          </w:p>
        </w:tc>
      </w:tr>
      <w:tr w:rsidR="002F5FB0" w:rsidRPr="002F5FB0" w:rsidTr="00462A0C">
        <w:trPr>
          <w:trHeight w:val="22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სოფლის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მეურნეობის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ფონდი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(IFAD)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20,330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52,698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2F5FB0" w:rsidRPr="002F5FB0" w:rsidTr="00462A0C">
        <w:trPr>
          <w:trHeight w:val="22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4,092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10,607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0.002%</w:t>
            </w:r>
          </w:p>
        </w:tc>
      </w:tr>
      <w:tr w:rsidR="002F5FB0" w:rsidRPr="002F5FB0" w:rsidTr="00462A0C">
        <w:trPr>
          <w:trHeight w:val="70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5,148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13,345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(SDR LIBOR + IBRD Variable Spread)/2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0.95%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2F5FB0" w:rsidRPr="002F5FB0" w:rsidTr="00462A0C">
        <w:trPr>
          <w:trHeight w:val="48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სავალუტო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ფონდი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(IMF EFF,NBG)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85,448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221,498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SDR Rate of Charge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1.80%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0.030%</w:t>
            </w:r>
          </w:p>
        </w:tc>
      </w:tr>
      <w:tr w:rsidR="002F5FB0" w:rsidRPr="002F5FB0" w:rsidTr="00462A0C">
        <w:trPr>
          <w:trHeight w:val="42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სავალუტო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ფონდი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(SBA )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106,810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276,873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SDR Rate of Charge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1.80%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0.037%</w:t>
            </w:r>
          </w:p>
        </w:tc>
      </w:tr>
      <w:tr w:rsidR="002F5FB0" w:rsidRPr="002F5FB0" w:rsidTr="00462A0C">
        <w:trPr>
          <w:trHeight w:val="28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ევროგაერთიანება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Calibri" w:hAnsi="Calibri" w:cs="Calibri"/>
                <w:color w:val="000000"/>
                <w:sz w:val="12"/>
                <w:szCs w:val="12"/>
              </w:rPr>
              <w:t>(EU)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11,976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31,044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0.52%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0.52%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2F5FB0" w:rsidRPr="002F5FB0" w:rsidTr="00462A0C">
        <w:trPr>
          <w:trHeight w:val="28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15,569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40,357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0.52%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1.16%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2F5FB0" w:rsidRPr="002F5FB0" w:rsidTr="00462A0C">
        <w:trPr>
          <w:trHeight w:val="51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ევროპის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რეკონსტრუქციის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და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(EBRD)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134,324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348,196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EURIBOR+ 1%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0.78%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0.020%</w:t>
            </w:r>
          </w:p>
        </w:tc>
      </w:tr>
      <w:tr w:rsidR="002F5FB0" w:rsidRPr="002F5FB0" w:rsidTr="00462A0C">
        <w:trPr>
          <w:trHeight w:val="24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66,762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173,060</w:t>
            </w:r>
          </w:p>
        </w:tc>
        <w:tc>
          <w:tcPr>
            <w:tcW w:w="147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Fix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0.013%</w:t>
            </w:r>
          </w:p>
        </w:tc>
      </w:tr>
      <w:tr w:rsidR="002F5FB0" w:rsidRPr="002F5FB0" w:rsidTr="00462A0C">
        <w:trPr>
          <w:trHeight w:val="24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397,471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1,030,324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1.50%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0.115%</w:t>
            </w:r>
          </w:p>
        </w:tc>
      </w:tr>
      <w:tr w:rsidR="002F5FB0" w:rsidRPr="002F5FB0" w:rsidTr="00462A0C">
        <w:trPr>
          <w:trHeight w:val="24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51,876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134,473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1.60%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0.016%</w:t>
            </w:r>
          </w:p>
        </w:tc>
      </w:tr>
      <w:tr w:rsidR="002F5FB0" w:rsidRPr="002F5FB0" w:rsidTr="00462A0C">
        <w:trPr>
          <w:trHeight w:val="21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207,427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537,692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0.080%</w:t>
            </w:r>
          </w:p>
        </w:tc>
      </w:tr>
      <w:tr w:rsidR="002F5FB0" w:rsidRPr="002F5FB0" w:rsidTr="00462A0C">
        <w:trPr>
          <w:trHeight w:val="42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აზიის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(ADB)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29,998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77,762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 + Fixed Spread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8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66,667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172,813</w:t>
            </w:r>
          </w:p>
        </w:tc>
        <w:tc>
          <w:tcPr>
            <w:tcW w:w="147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LIBOR + Fixed Spread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1.71%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0.022%</w:t>
            </w:r>
          </w:p>
        </w:tc>
      </w:tr>
      <w:tr w:rsidR="002F5FB0" w:rsidRPr="002F5FB0" w:rsidTr="00462A0C">
        <w:trPr>
          <w:trHeight w:val="18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57,725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149,634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1.81%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0.020%</w:t>
            </w:r>
          </w:p>
        </w:tc>
      </w:tr>
      <w:tr w:rsidR="002F5FB0" w:rsidRPr="002F5FB0" w:rsidTr="00462A0C">
        <w:trPr>
          <w:trHeight w:val="18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50,000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129,610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1.91%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0.018%</w:t>
            </w:r>
          </w:p>
        </w:tc>
      </w:tr>
      <w:tr w:rsidR="002F5FB0" w:rsidRPr="002F5FB0" w:rsidTr="00462A0C">
        <w:trPr>
          <w:trHeight w:val="18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73,911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191,593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0.029%</w:t>
            </w:r>
          </w:p>
        </w:tc>
      </w:tr>
      <w:tr w:rsidR="002F5FB0" w:rsidRPr="002F5FB0" w:rsidTr="00462A0C">
        <w:trPr>
          <w:trHeight w:val="18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16,000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41,475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2.07%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0.006%</w:t>
            </w:r>
          </w:p>
        </w:tc>
      </w:tr>
      <w:tr w:rsidR="002F5FB0" w:rsidRPr="002F5FB0" w:rsidTr="00462A0C">
        <w:trPr>
          <w:trHeight w:val="18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8,013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20,772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2.11%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2F5FB0" w:rsidRPr="002F5FB0" w:rsidTr="00462A0C">
        <w:trPr>
          <w:trHeight w:val="18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5,698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14,770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2.11%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0.002%</w:t>
            </w:r>
          </w:p>
        </w:tc>
      </w:tr>
      <w:tr w:rsidR="002F5FB0" w:rsidRPr="002F5FB0" w:rsidTr="00462A0C">
        <w:trPr>
          <w:trHeight w:val="18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27,112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70,280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2.31%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0.012%</w:t>
            </w:r>
          </w:p>
        </w:tc>
      </w:tr>
      <w:tr w:rsidR="002F5FB0" w:rsidRPr="002F5FB0" w:rsidTr="00462A0C">
        <w:trPr>
          <w:trHeight w:val="540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აზიის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ინფრასტრუქტურის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(AIIB)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9,267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24,022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LIBOR + Variable Spread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2.86%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ევროპის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საინვესტიციო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2F5FB0">
              <w:rPr>
                <w:rFonts w:ascii="Calibri" w:hAnsi="Calibri" w:cs="Calibri"/>
                <w:sz w:val="12"/>
                <w:szCs w:val="12"/>
              </w:rPr>
              <w:t>(EIB)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10,002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25,927</w:t>
            </w:r>
          </w:p>
        </w:tc>
        <w:tc>
          <w:tcPr>
            <w:tcW w:w="147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Fix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0.86%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0.002%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23,952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62,088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0.87%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11,976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31,044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1.65%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27,815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72,102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1.69%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0.009%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23,952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62,088</w:t>
            </w:r>
          </w:p>
        </w:tc>
        <w:tc>
          <w:tcPr>
            <w:tcW w:w="147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1.94%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0.009%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95,807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248,352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EURIBOR+0.183%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23,952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62,088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EURIBOR+0.505%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0.23%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83,484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216,408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 + 0.75%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0.50%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0.008%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16,106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41,749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EURIBOR+0.75%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0.51%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0.002%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4,192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10,865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EURIBOR+0.81%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0.53%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53,741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139,308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 + 0.82%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0.57%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0.006%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3,593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9,313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 + 0.858%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0.58%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ორმხრივი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კრედიტორები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>824,821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>2,138,102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ავსტრია</w:t>
            </w:r>
          </w:p>
        </w:tc>
        <w:tc>
          <w:tcPr>
            <w:tcW w:w="83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15,185</w:t>
            </w:r>
          </w:p>
        </w:tc>
        <w:tc>
          <w:tcPr>
            <w:tcW w:w="108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39,364</w:t>
            </w:r>
          </w:p>
        </w:tc>
        <w:tc>
          <w:tcPr>
            <w:tcW w:w="14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1.00%</w:t>
            </w:r>
          </w:p>
        </w:tc>
        <w:tc>
          <w:tcPr>
            <w:tcW w:w="13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1.00%</w:t>
            </w:r>
          </w:p>
        </w:tc>
        <w:tc>
          <w:tcPr>
            <w:tcW w:w="11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lastRenderedPageBreak/>
              <w:t>აზერბაიჯანი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8,855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22,953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თურქმენეთი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211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547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თურქეთი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16,981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44,019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ირანი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6,835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17,717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რუსეთი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70,616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183,052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0.055%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სომხეთი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10,027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25,992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0.006%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უზბეკეთი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178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462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უკრაინა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163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422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ყაზახეთი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21,747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56,373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0.017%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sz w:val="12"/>
                <w:szCs w:val="12"/>
              </w:rPr>
              <w:t>ჩინეთი</w:t>
            </w:r>
          </w:p>
        </w:tc>
        <w:tc>
          <w:tcPr>
            <w:tcW w:w="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CNY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2,305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5,975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გერმანია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(KfW)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140,961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365,399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0.020%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8,208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21,278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1.65%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1.65%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567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1,469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1.90%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1.90%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39,520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102,443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28,953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75,052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2.20%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2.20%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0.012%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11,090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28,747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4.20%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4.20%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0.009%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41,916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108,654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5.70%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5.70%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0.046%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15,243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39,513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6.68%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6.68%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0.020%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იაპონია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JPY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24,510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63,534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137,053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355,268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0.65%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0.65%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0.017%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1,880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4,874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1.30%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1.30%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22,621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58,639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1.40%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1.40%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0.006%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24,247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62,853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2.30%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2.30%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0.011%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კუვეიტი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KWD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19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50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2.50%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2.50%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12,260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31,782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0.007%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ნიდერლანდები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183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473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4.20%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4.20%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889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2,305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5.10%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5.10%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აშშ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306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794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1.50%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1.50%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8,530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22,112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6,115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15,851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2.25%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2.25%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7,657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19,849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2.50%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2.50%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საფრანგეთი</w:t>
            </w: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14,162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36,711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0.17%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0.17%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25,084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65,024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1.10%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1.10%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19,768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51,242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1.27%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1.27%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55,632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144,208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1.41%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1.41%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0.015%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15,553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40,316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 + 1.8%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1.80%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8,790</w:t>
            </w:r>
          </w:p>
        </w:tc>
        <w:tc>
          <w:tcPr>
            <w:tcW w:w="10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22,787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EURIBOR + 2.1%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2.10%</w:t>
            </w:r>
          </w:p>
        </w:tc>
        <w:tc>
          <w:tcPr>
            <w:tcW w:w="1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2F5FB0" w:rsidRPr="002F5FB0" w:rsidTr="00462A0C">
        <w:trPr>
          <w:trHeight w:val="285"/>
        </w:trPr>
        <w:tc>
          <w:tcPr>
            <w:tcW w:w="229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ფასიანი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ქაღალდები</w:t>
            </w:r>
          </w:p>
        </w:tc>
        <w:tc>
          <w:tcPr>
            <w:tcW w:w="835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>500,000</w:t>
            </w:r>
          </w:p>
        </w:tc>
        <w:tc>
          <w:tcPr>
            <w:tcW w:w="1081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>1,296,100</w:t>
            </w:r>
          </w:p>
        </w:tc>
        <w:tc>
          <w:tcPr>
            <w:tcW w:w="1478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2F5FB0" w:rsidRPr="002F5FB0" w:rsidTr="00462A0C">
        <w:trPr>
          <w:trHeight w:val="27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ევროობლიგაცია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2021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500,000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1,296,100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6.875%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6.875%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0.664%</w:t>
            </w:r>
          </w:p>
        </w:tc>
      </w:tr>
      <w:tr w:rsidR="002F5FB0" w:rsidRPr="002F5FB0" w:rsidTr="00462A0C">
        <w:trPr>
          <w:trHeight w:val="3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გარანტირებული</w:t>
            </w: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კრედიტები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>2,079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sz w:val="12"/>
                <w:szCs w:val="12"/>
              </w:rPr>
              <w:t>5,389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2F5FB0" w:rsidRPr="002F5FB0" w:rsidTr="00462A0C">
        <w:trPr>
          <w:trHeight w:val="195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Sylfaen" w:hAnsi="Sylfaen" w:cs="Sylfaen"/>
                <w:sz w:val="12"/>
                <w:szCs w:val="12"/>
              </w:rPr>
              <w:t>გერმანია</w:t>
            </w:r>
            <w:r w:rsidRPr="002F5FB0">
              <w:rPr>
                <w:rFonts w:ascii="Calibri" w:hAnsi="Calibri" w:cs="Calibri"/>
                <w:sz w:val="12"/>
                <w:szCs w:val="12"/>
              </w:rPr>
              <w:t xml:space="preserve"> (KfW)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2,079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5,389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2F5FB0" w:rsidRPr="002F5FB0" w:rsidTr="00462A0C">
        <w:trPr>
          <w:trHeight w:val="495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rPr>
                <w:rFonts w:ascii="Calibri" w:hAnsi="Calibri" w:cs="Calibri"/>
                <w:sz w:val="12"/>
                <w:szCs w:val="12"/>
              </w:rPr>
            </w:pPr>
            <w:r w:rsidRPr="002F5FB0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52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</w:pPr>
            <w:r w:rsidRPr="002F5FB0">
              <w:rPr>
                <w:rFonts w:ascii="Sylfaen" w:hAnsi="Sylfaen" w:cs="Sylfaen"/>
                <w:b/>
                <w:bCs/>
                <w:color w:val="FFFFFF"/>
                <w:sz w:val="12"/>
                <w:szCs w:val="12"/>
              </w:rPr>
              <w:t>საშუალო</w:t>
            </w:r>
            <w:r w:rsidRPr="002F5FB0"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color w:val="FFFFFF"/>
                <w:sz w:val="12"/>
                <w:szCs w:val="12"/>
              </w:rPr>
              <w:t>შეწონილი</w:t>
            </w:r>
            <w:r w:rsidRPr="002F5FB0"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color w:val="FFFFFF"/>
                <w:sz w:val="12"/>
                <w:szCs w:val="12"/>
              </w:rPr>
              <w:t>საპროცენტო</w:t>
            </w:r>
            <w:r w:rsidRPr="002F5FB0"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  <w:t xml:space="preserve"> </w:t>
            </w:r>
            <w:r w:rsidRPr="002F5FB0">
              <w:rPr>
                <w:rFonts w:ascii="Sylfaen" w:hAnsi="Sylfaen" w:cs="Sylfaen"/>
                <w:b/>
                <w:bCs/>
                <w:color w:val="FFFFFF"/>
                <w:sz w:val="12"/>
                <w:szCs w:val="12"/>
              </w:rPr>
              <w:t>განაკვეთი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F5FB0" w:rsidRPr="002F5FB0" w:rsidRDefault="002F5FB0" w:rsidP="002F5FB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</w:pPr>
            <w:r w:rsidRPr="002F5FB0"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  <w:t>2.01%</w:t>
            </w:r>
          </w:p>
        </w:tc>
      </w:tr>
    </w:tbl>
    <w:p w:rsidR="00071D1D" w:rsidRDefault="00071D1D" w:rsidP="002F5FB0">
      <w:pPr>
        <w:tabs>
          <w:tab w:val="left" w:pos="360"/>
        </w:tabs>
        <w:spacing w:after="0"/>
        <w:jc w:val="center"/>
        <w:rPr>
          <w:rFonts w:ascii="Sylfaen" w:hAnsi="Sylfaen"/>
          <w:b/>
          <w:color w:val="0070C0"/>
          <w:lang w:val="ka-GE"/>
        </w:rPr>
      </w:pPr>
    </w:p>
    <w:p w:rsidR="00071D1D" w:rsidRPr="00CB57F7" w:rsidRDefault="00071D1D" w:rsidP="00B14B51">
      <w:pPr>
        <w:tabs>
          <w:tab w:val="left" w:pos="360"/>
        </w:tabs>
        <w:spacing w:after="0"/>
        <w:jc w:val="center"/>
        <w:rPr>
          <w:rFonts w:ascii="Sylfaen" w:hAnsi="Sylfaen"/>
          <w:b/>
          <w:color w:val="0070C0"/>
          <w:sz w:val="16"/>
          <w:szCs w:val="16"/>
          <w:lang w:val="ka-GE"/>
        </w:rPr>
      </w:pPr>
    </w:p>
    <w:p w:rsidR="00071D1D" w:rsidRDefault="00071D1D" w:rsidP="00B14B51">
      <w:pPr>
        <w:tabs>
          <w:tab w:val="left" w:pos="360"/>
        </w:tabs>
        <w:spacing w:after="0"/>
        <w:jc w:val="center"/>
        <w:rPr>
          <w:rFonts w:ascii="Sylfaen" w:hAnsi="Sylfaen"/>
          <w:b/>
          <w:color w:val="0070C0"/>
          <w:lang w:val="ka-GE"/>
        </w:rPr>
      </w:pPr>
    </w:p>
    <w:p w:rsidR="00B830F8" w:rsidRDefault="00B830F8" w:rsidP="00B830F8">
      <w:pPr>
        <w:tabs>
          <w:tab w:val="left" w:pos="720"/>
        </w:tabs>
        <w:spacing w:after="240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6663B1" w:rsidRPr="002D6086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6663B1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6663B1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262BF3" w:rsidRPr="00071A4F">
        <w:rPr>
          <w:rFonts w:ascii="Sylfaen" w:hAnsi="Sylfaen" w:cs="Sylfaen"/>
          <w:szCs w:val="21"/>
          <w:shd w:val="clear" w:color="auto" w:fill="FFFFFF"/>
          <w:lang w:val="ka-GE"/>
        </w:rPr>
        <w:t>664</w:t>
      </w:r>
      <w:r w:rsidR="00FD6A02" w:rsidRPr="00071A4F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262BF3" w:rsidRPr="00071A4F">
        <w:rPr>
          <w:rFonts w:ascii="Sylfaen" w:hAnsi="Sylfaen" w:cs="Sylfaen"/>
          <w:szCs w:val="21"/>
          <w:shd w:val="clear" w:color="auto" w:fill="FFFFFF"/>
          <w:lang w:val="ka-GE"/>
        </w:rPr>
        <w:t>910</w:t>
      </w:r>
      <w:r w:rsidR="00FD6A02" w:rsidRPr="00071A4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62BF3" w:rsidRPr="00071A4F">
        <w:rPr>
          <w:rFonts w:ascii="Sylfaen" w:hAnsi="Sylfaen" w:cs="Sylfaen"/>
          <w:szCs w:val="21"/>
          <w:shd w:val="clear" w:color="auto" w:fill="FFFFFF"/>
          <w:lang w:val="ka-GE"/>
        </w:rPr>
        <w:t>86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მათ შორის -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62BF3" w:rsidRPr="00071A4F">
        <w:rPr>
          <w:rFonts w:ascii="Sylfaen" w:hAnsi="Sylfaen" w:cs="Sylfaen"/>
          <w:szCs w:val="21"/>
          <w:shd w:val="clear" w:color="auto" w:fill="FFFFFF"/>
          <w:lang w:val="ka-GE"/>
        </w:rPr>
        <w:t>427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262BF3" w:rsidRPr="00071A4F">
        <w:rPr>
          <w:rFonts w:ascii="Sylfaen" w:hAnsi="Sylfaen" w:cs="Sylfaen"/>
          <w:szCs w:val="21"/>
          <w:shd w:val="clear" w:color="auto" w:fill="FFFFFF"/>
          <w:lang w:val="ka-GE"/>
        </w:rPr>
        <w:t>428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62BF3" w:rsidRPr="00071A4F">
        <w:rPr>
          <w:rFonts w:ascii="Sylfaen" w:hAnsi="Sylfaen" w:cs="Sylfaen"/>
          <w:szCs w:val="21"/>
          <w:shd w:val="clear" w:color="auto" w:fill="FFFFFF"/>
          <w:lang w:val="ka-GE"/>
        </w:rPr>
        <w:t>75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62BF3" w:rsidRPr="00071A4F">
        <w:rPr>
          <w:rFonts w:ascii="Sylfaen" w:hAnsi="Sylfaen" w:cs="Sylfaen"/>
          <w:szCs w:val="21"/>
          <w:shd w:val="clear" w:color="auto" w:fill="FFFFFF"/>
          <w:lang w:val="ka-GE"/>
        </w:rPr>
        <w:t>237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262BF3" w:rsidRPr="00071A4F">
        <w:rPr>
          <w:rFonts w:ascii="Sylfaen" w:hAnsi="Sylfaen" w:cs="Sylfaen"/>
          <w:szCs w:val="21"/>
          <w:shd w:val="clear" w:color="auto" w:fill="FFFFFF"/>
          <w:lang w:val="ka-GE"/>
        </w:rPr>
        <w:t>482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62BF3" w:rsidRPr="00071A4F">
        <w:rPr>
          <w:rFonts w:ascii="Sylfaen" w:hAnsi="Sylfaen" w:cs="Sylfaen"/>
          <w:szCs w:val="21"/>
          <w:shd w:val="clear" w:color="auto" w:fill="FFFFFF"/>
          <w:lang w:val="ka-GE"/>
        </w:rPr>
        <w:t>11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A93CD1" w:rsidRDefault="00A93CD1" w:rsidP="00B830F8">
      <w:pPr>
        <w:tabs>
          <w:tab w:val="left" w:pos="720"/>
        </w:tabs>
        <w:spacing w:after="240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A93CD1" w:rsidRDefault="00A93CD1" w:rsidP="00B830F8">
      <w:pPr>
        <w:tabs>
          <w:tab w:val="left" w:pos="720"/>
        </w:tabs>
        <w:spacing w:after="240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A93CD1" w:rsidRPr="00A93CD1" w:rsidRDefault="00A93CD1" w:rsidP="00B830F8">
      <w:pPr>
        <w:tabs>
          <w:tab w:val="left" w:pos="720"/>
        </w:tabs>
        <w:spacing w:after="240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64753E" w:rsidRDefault="0064753E">
      <w:pPr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br w:type="page"/>
      </w:r>
    </w:p>
    <w:p w:rsidR="00065901" w:rsidRDefault="00FE7942" w:rsidP="00564C7D">
      <w:pPr>
        <w:tabs>
          <w:tab w:val="left" w:pos="720"/>
        </w:tabs>
        <w:spacing w:after="12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სახელმწიფო საგარეო ვალდებულებების მომსახურება და დაფარვა</w:t>
      </w:r>
    </w:p>
    <w:p w:rsidR="004816BC" w:rsidRDefault="001A397F" w:rsidP="00564C7D">
      <w:pPr>
        <w:tabs>
          <w:tab w:val="left" w:pos="720"/>
        </w:tabs>
        <w:spacing w:after="12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2D6086">
        <w:rPr>
          <w:rFonts w:ascii="Sylfaen" w:hAnsi="Sylfaen" w:cs="Sylfaen"/>
          <w:b/>
          <w:szCs w:val="18"/>
          <w:shd w:val="clear" w:color="auto" w:fill="FFFFFF"/>
          <w:lang w:val="ka-GE"/>
        </w:rPr>
        <w:t>201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7</w:t>
      </w:r>
      <w:r w:rsidRPr="002D6086">
        <w:rPr>
          <w:rFonts w:ascii="Sylfaen" w:hAnsi="Sylfaen" w:cs="Sylfaen"/>
          <w:b/>
          <w:szCs w:val="18"/>
          <w:shd w:val="clear" w:color="auto" w:fill="FFFFFF"/>
        </w:rPr>
        <w:t xml:space="preserve"> </w:t>
      </w:r>
      <w:r w:rsidR="00B830F8" w:rsidRPr="002D6086">
        <w:rPr>
          <w:rFonts w:ascii="Sylfaen" w:hAnsi="Sylfaen" w:cs="Sylfaen"/>
          <w:b/>
          <w:szCs w:val="18"/>
          <w:shd w:val="clear" w:color="auto" w:fill="FFFFFF"/>
          <w:lang w:val="ka-GE"/>
        </w:rPr>
        <w:t>წლ</w:t>
      </w:r>
      <w:r w:rsidR="00065901">
        <w:rPr>
          <w:rFonts w:ascii="Sylfaen" w:hAnsi="Sylfaen" w:cs="Sylfaen"/>
          <w:b/>
          <w:szCs w:val="18"/>
          <w:shd w:val="clear" w:color="auto" w:fill="FFFFFF"/>
          <w:lang w:val="ka-GE"/>
        </w:rPr>
        <w:t>ი</w:t>
      </w:r>
      <w:r w:rsidR="00B830F8" w:rsidRPr="002D6086">
        <w:rPr>
          <w:rFonts w:ascii="Sylfaen" w:hAnsi="Sylfaen" w:cs="Sylfaen"/>
          <w:b/>
          <w:szCs w:val="18"/>
          <w:shd w:val="clear" w:color="auto" w:fill="FFFFFF"/>
          <w:lang w:val="ka-GE"/>
        </w:rPr>
        <w:t>ს</w:t>
      </w:r>
      <w:r w:rsidR="0006590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262BF3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64753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262BF3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დეკემბრისათვის</w:t>
      </w:r>
    </w:p>
    <w:p w:rsidR="00C37E2F" w:rsidRDefault="00564C7D" w:rsidP="00071A4F">
      <w:pPr>
        <w:tabs>
          <w:tab w:val="left" w:pos="720"/>
        </w:tabs>
        <w:spacing w:after="120"/>
        <w:jc w:val="right"/>
        <w:rPr>
          <w:rFonts w:ascii="Sylfaen" w:hAnsi="Sylfaen" w:cs="Sylfaen"/>
          <w:sz w:val="18"/>
          <w:szCs w:val="18"/>
          <w:shd w:val="clear" w:color="auto" w:fill="FFFFFF"/>
          <w:lang w:val="ka-GE"/>
        </w:rPr>
      </w:pP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 xml:space="preserve">          </w:t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</w:p>
    <w:tbl>
      <w:tblPr>
        <w:tblW w:w="8465" w:type="dxa"/>
        <w:tblInd w:w="534" w:type="dxa"/>
        <w:tblLook w:val="04A0" w:firstRow="1" w:lastRow="0" w:firstColumn="1" w:lastColumn="0" w:noHBand="0" w:noVBand="1"/>
      </w:tblPr>
      <w:tblGrid>
        <w:gridCol w:w="2202"/>
        <w:gridCol w:w="2090"/>
        <w:gridCol w:w="2083"/>
        <w:gridCol w:w="2090"/>
      </w:tblGrid>
      <w:tr w:rsidR="00071A4F" w:rsidRPr="00071A4F" w:rsidTr="00071A4F">
        <w:trPr>
          <w:trHeight w:val="458"/>
        </w:trPr>
        <w:tc>
          <w:tcPr>
            <w:tcW w:w="220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Sylfaen" w:eastAsia="Times New Roman" w:hAnsi="Sylfaen" w:cs="Sylfaen"/>
                <w:b/>
                <w:bCs/>
                <w:i/>
                <w:color w:val="000000"/>
              </w:rPr>
            </w:pPr>
            <w:r w:rsidRPr="00071A4F">
              <w:rPr>
                <w:rFonts w:ascii="Sylfaen" w:hAnsi="Sylfaen" w:cs="Sylfaen"/>
                <w:b/>
                <w:i/>
                <w:color w:val="C00000"/>
                <w:sz w:val="18"/>
                <w:szCs w:val="18"/>
                <w:shd w:val="clear" w:color="auto" w:fill="FFFFFF"/>
                <w:lang w:val="ka-GE"/>
              </w:rPr>
              <w:t>ათასი ლარი</w:t>
            </w:r>
          </w:p>
        </w:tc>
      </w:tr>
      <w:tr w:rsidR="00071A4F" w:rsidRPr="00071A4F" w:rsidTr="00071A4F">
        <w:trPr>
          <w:trHeight w:val="45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კრედიტორები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r w:rsidRPr="00071A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71A4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color w:val="000000"/>
              </w:rPr>
              <w:t>სულ</w:t>
            </w:r>
            <w:r w:rsidRPr="00071A4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2017</w:t>
            </w:r>
          </w:p>
        </w:tc>
      </w:tr>
      <w:tr w:rsidR="00071A4F" w:rsidRPr="00071A4F" w:rsidTr="00071A4F">
        <w:trPr>
          <w:trHeight w:val="34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17"/>
                <w:szCs w:val="17"/>
              </w:rPr>
              <w:t>სულ</w:t>
            </w: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color w:val="FF0000"/>
                <w:sz w:val="17"/>
                <w:szCs w:val="17"/>
              </w:rPr>
              <w:t>ჯამი</w:t>
            </w: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  <w:t>427,428.7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  <w:t xml:space="preserve">                  237,482.1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7"/>
                <w:szCs w:val="17"/>
              </w:rPr>
              <w:t xml:space="preserve">                  664,910.9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ავსტრია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539.7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539.7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კუვეიტი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4,769.2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1,034.5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5,803.7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იაპონია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6,438.8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4,416.8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10,855.6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გერმანია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54,182.4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20,542.3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74,724.7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აშშ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6,048.6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1,418.5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7,467.1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სომხეთი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3,150.9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833.8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3,984.7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აზერბაიჯანი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2,390.0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719.3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3,109.3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ირანი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1,920.1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556.8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2,476.9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ყაზახეთი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9,801.5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6,257.9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16,059.4 </w:t>
            </w:r>
          </w:p>
        </w:tc>
      </w:tr>
      <w:tr w:rsidR="00071A4F" w:rsidRPr="00071A4F" w:rsidTr="00071A4F">
        <w:trPr>
          <w:trHeight w:val="48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ნიდერლანდები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441.4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142.0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583.4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რუსეთი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21,084.7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7,803.0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28,887.7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თურქეთი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4,531.2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1,496.0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6,027.2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უკრაინა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76.5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13.8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90.2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უზბეკეთი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83.9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15.1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99.0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საფრანგეთი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25,024.8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5,661.7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30,686.5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ჩინეთი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1,064.4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1,064.4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IDA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149,263.7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30,255.0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179,518.7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>IBRD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28,102.8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34,022.4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62,125.2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>IFAD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2,767.2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590.3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3,357.5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>EBRD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25,017.8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2,915.7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27,933.5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>EIB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16,943.8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5,457.0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22,400.8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>ADB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46,365.1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24,270.6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70,635.7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>IMF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17,960.0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4,061.0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22,021.0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>EU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137.1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137.1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>CEB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       -   </w:t>
            </w:r>
          </w:p>
        </w:tc>
      </w:tr>
      <w:tr w:rsidR="00071A4F" w:rsidRPr="00071A4F" w:rsidTr="00071A4F">
        <w:trPr>
          <w:trHeight w:val="30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71A4F">
              <w:rPr>
                <w:rFonts w:ascii="Sylfaen" w:eastAsia="Times New Roman" w:hAnsi="Sylfaen" w:cs="Sylfaen"/>
                <w:b/>
                <w:bCs/>
                <w:i/>
                <w:iCs/>
                <w:sz w:val="18"/>
                <w:szCs w:val="18"/>
              </w:rPr>
              <w:t>ევრობონდები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84,321.9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A4F" w:rsidRPr="00071A4F" w:rsidRDefault="00071A4F" w:rsidP="00071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</w:pPr>
            <w:r w:rsidRPr="00071A4F">
              <w:rPr>
                <w:rFonts w:ascii="Calibri" w:eastAsia="Times New Roman" w:hAnsi="Calibri" w:cs="Calibri"/>
                <w:b/>
                <w:bCs/>
                <w:i/>
                <w:iCs/>
                <w:sz w:val="17"/>
                <w:szCs w:val="17"/>
              </w:rPr>
              <w:t xml:space="preserve">                     84,321.9 </w:t>
            </w:r>
          </w:p>
        </w:tc>
      </w:tr>
    </w:tbl>
    <w:p w:rsidR="005E7CA8" w:rsidRDefault="005E7CA8" w:rsidP="00A761DC">
      <w:pPr>
        <w:tabs>
          <w:tab w:val="left" w:pos="720"/>
        </w:tabs>
        <w:spacing w:after="120"/>
      </w:pPr>
      <w:r>
        <w:rPr>
          <w:shd w:val="clear" w:color="auto" w:fill="FFFFFF"/>
          <w:lang w:val="ka-GE"/>
        </w:rPr>
        <w:fldChar w:fldCharType="begin"/>
      </w:r>
      <w:r>
        <w:rPr>
          <w:shd w:val="clear" w:color="auto" w:fill="FFFFFF"/>
          <w:lang w:val="ka-GE"/>
        </w:rPr>
        <w:instrText xml:space="preserve"> LINK </w:instrText>
      </w:r>
      <w:r w:rsidR="00D539F2">
        <w:rPr>
          <w:shd w:val="clear" w:color="auto" w:fill="FFFFFF"/>
          <w:lang w:val="ka-GE"/>
        </w:rPr>
        <w:instrText xml:space="preserve">Excel.Sheet.12 "D:\\l.phirtskhalaishvili\\Desktop\\budget 2017\\Copy of 2017-2020 formulas.xlsx" Sheet1!R5C3:R31C6 </w:instrText>
      </w:r>
      <w:r>
        <w:rPr>
          <w:shd w:val="clear" w:color="auto" w:fill="FFFFFF"/>
          <w:lang w:val="ka-GE"/>
        </w:rPr>
        <w:instrText xml:space="preserve">\a \f 4 \h </w:instrText>
      </w:r>
      <w:r w:rsidR="00515451">
        <w:rPr>
          <w:shd w:val="clear" w:color="auto" w:fill="FFFFFF"/>
          <w:lang w:val="ka-GE"/>
        </w:rPr>
        <w:instrText xml:space="preserve"> \* MERGEFORMAT </w:instrText>
      </w:r>
      <w:r>
        <w:rPr>
          <w:shd w:val="clear" w:color="auto" w:fill="FFFFFF"/>
          <w:lang w:val="ka-GE"/>
        </w:rPr>
        <w:fldChar w:fldCharType="separate"/>
      </w:r>
    </w:p>
    <w:p w:rsidR="00F26066" w:rsidRDefault="005E7CA8" w:rsidP="00F26066">
      <w:pPr>
        <w:tabs>
          <w:tab w:val="left" w:pos="720"/>
        </w:tabs>
        <w:spacing w:after="0"/>
        <w:ind w:firstLine="540"/>
        <w:jc w:val="both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fldChar w:fldCharType="end"/>
      </w:r>
    </w:p>
    <w:p w:rsidR="00BF4EC7" w:rsidRDefault="00567ACE" w:rsidP="004D26F9">
      <w:pPr>
        <w:tabs>
          <w:tab w:val="left" w:pos="720"/>
        </w:tabs>
        <w:spacing w:after="0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Pr="00871B7C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 ფინანსთა სამინისტრომ განახორციელა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15303">
        <w:rPr>
          <w:rFonts w:ascii="Sylfaen" w:hAnsi="Sylfaen" w:cs="Sylfaen"/>
          <w:szCs w:val="21"/>
          <w:shd w:val="clear" w:color="auto" w:fill="FFFFFF"/>
        </w:rPr>
        <w:t>6</w:t>
      </w:r>
      <w:r w:rsidR="00015303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>12 თვიანი სახაზინო ვალდებულებების და 2, 5 და 10 წლიანი სახაზინო ობლიგაციების ემისია. 201</w:t>
      </w:r>
      <w:r w:rsidR="00015303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D651F7">
        <w:rPr>
          <w:rFonts w:ascii="Sylfaen" w:hAnsi="Sylfaen" w:cs="Sylfaen"/>
          <w:szCs w:val="21"/>
          <w:shd w:val="clear" w:color="auto" w:fill="FFFFFF"/>
        </w:rPr>
        <w:t>31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D651F7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015303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>
        <w:rPr>
          <w:rFonts w:ascii="Sylfaen" w:hAnsi="Sylfaen" w:cs="Sylfaen"/>
          <w:szCs w:val="21"/>
          <w:shd w:val="clear" w:color="auto" w:fill="FFFFFF"/>
          <w:lang w:val="ka-GE"/>
        </w:rPr>
        <w:t>6 თვიანზე 7.</w:t>
      </w:r>
      <w:r w:rsidR="00D651F7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15303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თვიანზე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7.</w:t>
      </w:r>
      <w:r w:rsidR="00D651F7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3B15C3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015303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651F7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4464CC">
        <w:rPr>
          <w:rFonts w:ascii="Sylfaen" w:hAnsi="Sylfaen" w:cs="Sylfaen"/>
          <w:szCs w:val="21"/>
          <w:shd w:val="clear" w:color="auto" w:fill="FFFFFF"/>
        </w:rPr>
        <w:t>7</w:t>
      </w:r>
      <w:r w:rsidR="00015303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4464CC">
        <w:rPr>
          <w:rFonts w:ascii="Sylfaen" w:hAnsi="Sylfaen" w:cs="Sylfaen"/>
          <w:szCs w:val="21"/>
          <w:shd w:val="clear" w:color="auto" w:fill="FFFFFF"/>
        </w:rPr>
        <w:t>9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4464CC">
        <w:rPr>
          <w:rFonts w:ascii="Sylfaen" w:hAnsi="Sylfaen" w:cs="Sylfaen"/>
          <w:szCs w:val="21"/>
          <w:shd w:val="clear" w:color="auto" w:fill="FFFFFF"/>
        </w:rPr>
        <w:t>9</w:t>
      </w:r>
      <w:r w:rsidR="00015303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651F7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Pr="00042DF5">
        <w:rPr>
          <w:rFonts w:ascii="Sylfaen" w:hAnsi="Sylfaen" w:cs="Sylfaen"/>
          <w:szCs w:val="21"/>
          <w:shd w:val="clear" w:color="auto" w:fill="FFFFFF"/>
        </w:rPr>
        <w:t>%</w:t>
      </w:r>
      <w:r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567ACE" w:rsidRPr="00641795" w:rsidRDefault="00567ACE" w:rsidP="00567ACE">
      <w:pPr>
        <w:tabs>
          <w:tab w:val="left" w:pos="288"/>
        </w:tabs>
        <w:autoSpaceDE w:val="0"/>
        <w:autoSpaceDN w:val="0"/>
        <w:adjustRightInd w:val="0"/>
        <w:spacing w:after="0"/>
        <w:ind w:firstLine="810"/>
        <w:jc w:val="both"/>
        <w:rPr>
          <w:rFonts w:ascii="Sylfaen" w:hAnsi="Sylfaen" w:cs="Sylfaen"/>
          <w:shd w:val="clear" w:color="auto" w:fill="FFFFFF"/>
          <w:lang w:val="ka-GE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>სახელმწიფო ფასიანი ქაღალდების გამოშვების შედეგად საშინაო ვალის ნაშთმა 201</w:t>
      </w:r>
      <w:r w:rsidR="00015303">
        <w:rPr>
          <w:rFonts w:ascii="Sylfaen" w:hAnsi="Sylfaen" w:cs="Sylfaen"/>
          <w:shd w:val="clear" w:color="auto" w:fill="FFFFFF"/>
          <w:lang w:val="ka-GE"/>
        </w:rPr>
        <w:t>7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D651F7">
        <w:rPr>
          <w:rFonts w:ascii="Sylfaen" w:hAnsi="Sylfaen" w:cs="Sylfaen"/>
          <w:shd w:val="clear" w:color="auto" w:fill="FFFFFF"/>
          <w:lang w:val="ka-GE"/>
        </w:rPr>
        <w:t>31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D651F7">
        <w:rPr>
          <w:rFonts w:ascii="Sylfaen" w:hAnsi="Sylfaen" w:cs="Sylfaen"/>
          <w:shd w:val="clear" w:color="auto" w:fill="FFFFFF"/>
          <w:lang w:val="ka-GE"/>
        </w:rPr>
        <w:t>დეკემბრის</w:t>
      </w:r>
      <w:r w:rsidR="00015303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შეადგენ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4464CC" w:rsidRPr="004464CC">
        <w:rPr>
          <w:rFonts w:ascii="Sylfaen" w:hAnsi="Sylfaen" w:cs="Sylfaen"/>
          <w:shd w:val="clear" w:color="auto" w:fill="FFFFFF"/>
          <w:lang w:val="ka-GE"/>
        </w:rPr>
        <w:t>2</w:t>
      </w:r>
      <w:r w:rsidR="004464CC">
        <w:rPr>
          <w:rFonts w:ascii="Sylfaen" w:hAnsi="Sylfaen" w:cs="Sylfaen"/>
          <w:shd w:val="clear" w:color="auto" w:fill="FFFFFF"/>
          <w:lang w:val="ka-GE"/>
        </w:rPr>
        <w:t>,</w:t>
      </w:r>
      <w:r w:rsidR="00D651F7">
        <w:rPr>
          <w:rFonts w:ascii="Sylfaen" w:hAnsi="Sylfaen" w:cs="Sylfaen"/>
          <w:shd w:val="clear" w:color="auto" w:fill="FFFFFF"/>
          <w:lang w:val="ka-GE"/>
        </w:rPr>
        <w:t>863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D651F7">
        <w:rPr>
          <w:rFonts w:ascii="Sylfaen" w:hAnsi="Sylfaen" w:cs="Sylfaen"/>
          <w:shd w:val="clear" w:color="auto" w:fill="FFFFFF"/>
          <w:lang w:val="ka-GE"/>
        </w:rPr>
        <w:t>1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მილიონ</w:t>
      </w:r>
      <w:r w:rsidR="003B15C3"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(სახელმწიფო ფასიანი ქაღალდების დაუფარავი მოცულობა ნომინალებში - </w:t>
      </w:r>
      <w:r w:rsidR="004464CC" w:rsidRPr="004464CC">
        <w:rPr>
          <w:rFonts w:ascii="Sylfaen" w:hAnsi="Sylfaen" w:cs="Sylfaen"/>
          <w:shd w:val="clear" w:color="auto" w:fill="FFFFFF"/>
          <w:lang w:val="ka-GE"/>
        </w:rPr>
        <w:t>2</w:t>
      </w:r>
      <w:r w:rsidR="004464CC">
        <w:rPr>
          <w:rFonts w:ascii="Sylfaen" w:hAnsi="Sylfaen" w:cs="Sylfaen"/>
          <w:shd w:val="clear" w:color="auto" w:fill="FFFFFF"/>
          <w:lang w:val="ka-GE"/>
        </w:rPr>
        <w:t>,</w:t>
      </w:r>
      <w:r w:rsidR="00D651F7">
        <w:rPr>
          <w:rFonts w:ascii="Sylfaen" w:hAnsi="Sylfaen" w:cs="Sylfaen"/>
          <w:shd w:val="clear" w:color="auto" w:fill="FFFFFF"/>
          <w:lang w:val="ka-GE"/>
        </w:rPr>
        <w:t>898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.3 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მლნ ლარი), აქედან </w:t>
      </w:r>
      <w:r w:rsidR="004464CC" w:rsidRPr="004464CC">
        <w:rPr>
          <w:rFonts w:ascii="Sylfaen" w:hAnsi="Sylfaen" w:cs="Sylfaen"/>
          <w:shd w:val="clear" w:color="auto" w:fill="FFFFFF"/>
          <w:lang w:val="ka-GE"/>
        </w:rPr>
        <w:t>2</w:t>
      </w:r>
      <w:r w:rsidR="004464CC">
        <w:rPr>
          <w:rFonts w:ascii="Sylfaen" w:hAnsi="Sylfaen" w:cs="Sylfaen"/>
          <w:shd w:val="clear" w:color="auto" w:fill="FFFFFF"/>
          <w:lang w:val="ka-GE"/>
        </w:rPr>
        <w:t>,</w:t>
      </w:r>
      <w:r w:rsidR="00D651F7">
        <w:rPr>
          <w:rFonts w:ascii="Sylfaen" w:hAnsi="Sylfaen" w:cs="Sylfaen"/>
          <w:shd w:val="clear" w:color="auto" w:fill="FFFFFF"/>
          <w:lang w:val="ka-GE"/>
        </w:rPr>
        <w:t>395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D651F7">
        <w:rPr>
          <w:rFonts w:ascii="Sylfaen" w:hAnsi="Sylfaen" w:cs="Sylfaen"/>
          <w:shd w:val="clear" w:color="auto" w:fill="FFFFFF"/>
          <w:lang w:val="ka-GE"/>
        </w:rPr>
        <w:t>3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მილიონი ლარი წარმოადგენს ნაშთს სახაზინო ვალდებულებების და ობლიგაციების ნაწილში, </w:t>
      </w:r>
      <w:r w:rsidRPr="00641795">
        <w:rPr>
          <w:rFonts w:ascii="Sylfaen" w:hAnsi="Sylfaen" w:cs="Sylfaen"/>
          <w:shd w:val="clear" w:color="auto" w:fill="FFFFFF"/>
          <w:lang w:val="ka-GE"/>
        </w:rPr>
        <w:lastRenderedPageBreak/>
        <w:t xml:space="preserve">ხოლო 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4</w:t>
      </w:r>
      <w:r w:rsidR="00D651F7">
        <w:rPr>
          <w:rFonts w:ascii="Sylfaen" w:hAnsi="Sylfaen" w:cs="Sylfaen"/>
          <w:shd w:val="clear" w:color="auto" w:fill="FFFFFF"/>
          <w:lang w:val="ka-GE"/>
        </w:rPr>
        <w:t>6</w:t>
      </w:r>
      <w:r w:rsidR="004464CC">
        <w:rPr>
          <w:rFonts w:ascii="Sylfaen" w:hAnsi="Sylfaen" w:cs="Sylfaen"/>
          <w:shd w:val="clear" w:color="auto" w:fill="FFFFFF"/>
          <w:lang w:val="ka-GE"/>
        </w:rPr>
        <w:t>7</w:t>
      </w:r>
      <w:r w:rsidR="00576720">
        <w:rPr>
          <w:rFonts w:ascii="Sylfaen" w:hAnsi="Sylfaen" w:cs="Sylfaen"/>
          <w:shd w:val="clear" w:color="auto" w:fill="FFFFFF"/>
          <w:lang w:val="ka-GE"/>
        </w:rPr>
        <w:t>.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8</w:t>
      </w:r>
      <w:r w:rsidR="0057672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მილიონი ლარი - „სახელმწიფო ობლიგაციები სებ-სთვის და ღია ბაზრის ოპერაციებისათვის“ ნაწილში.</w:t>
      </w:r>
    </w:p>
    <w:p w:rsidR="00E428CD" w:rsidRDefault="00E428CD" w:rsidP="003F75A7">
      <w:pPr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F26066" w:rsidRPr="00C367E2" w:rsidRDefault="00F26066" w:rsidP="003F75A7">
      <w:pPr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>სახელმწიფო  ფასიანი ქაღალდების დაუფარავი მოცულობა ნომინალებში ვადის და ტიპის მიხედვით 201</w:t>
      </w:r>
      <w:r w:rsidR="000D046A">
        <w:rPr>
          <w:rFonts w:ascii="Sylfaen" w:hAnsi="Sylfaen" w:cs="Sylfaen"/>
          <w:b/>
          <w:szCs w:val="18"/>
          <w:shd w:val="clear" w:color="auto" w:fill="FFFFFF"/>
          <w:lang w:val="ka-GE"/>
        </w:rPr>
        <w:t>7</w:t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წლის </w:t>
      </w:r>
      <w:r w:rsidR="00D651F7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567ACE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D651F7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0D046A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26066" w:rsidRPr="00C367E2" w:rsidRDefault="00F26066" w:rsidP="00F2606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14"/>
          <w:szCs w:val="14"/>
          <w:shd w:val="clear" w:color="auto" w:fill="FFFFFF"/>
        </w:rPr>
      </w:pPr>
    </w:p>
    <w:p w:rsidR="00F26066" w:rsidRPr="00C367E2" w:rsidRDefault="00F26066" w:rsidP="004464CC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Sylfaen" w:hAnsi="Sylfaen" w:cs="Sylfaen"/>
          <w:b/>
          <w:i/>
          <w:sz w:val="20"/>
          <w:szCs w:val="18"/>
          <w:shd w:val="clear" w:color="auto" w:fill="FFFFFF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C367E2">
        <w:rPr>
          <w:rFonts w:ascii="Sylfaen" w:hAnsi="Sylfaen" w:cs="Sylfaen"/>
          <w:b/>
          <w:i/>
          <w:sz w:val="20"/>
          <w:szCs w:val="18"/>
          <w:shd w:val="clear" w:color="auto" w:fill="FFFFFF"/>
          <w:lang w:val="ka-GE"/>
        </w:rPr>
        <w:t>ათასი ლარი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4"/>
        <w:gridCol w:w="2854"/>
      </w:tblGrid>
      <w:tr w:rsidR="00576720" w:rsidRPr="00C367E2" w:rsidTr="00054AB0">
        <w:trPr>
          <w:trHeight w:val="638"/>
        </w:trPr>
        <w:tc>
          <w:tcPr>
            <w:tcW w:w="3539" w:type="pct"/>
            <w:vAlign w:val="center"/>
            <w:hideMark/>
          </w:tcPr>
          <w:p w:rsidR="00576720" w:rsidRPr="00C367E2" w:rsidRDefault="00576720" w:rsidP="00054AB0">
            <w:pPr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ka-GE"/>
              </w:rPr>
            </w:pPr>
            <w:r w:rsidRPr="00C367E2">
              <w:rPr>
                <w:rFonts w:ascii="Sylfaen" w:eastAsia="Times New Roman" w:hAnsi="Sylfaen" w:cs="Arial"/>
                <w:b/>
                <w:bCs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:rsidR="00746294" w:rsidRPr="00FC7F30" w:rsidRDefault="0074629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:rsidR="00576720" w:rsidRPr="00FC7F30" w:rsidRDefault="004464CC" w:rsidP="00D651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FC7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FC7F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a-GE"/>
              </w:rPr>
              <w:t>,</w:t>
            </w:r>
            <w:r w:rsidR="00D651F7" w:rsidRPr="00FC7F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a-GE"/>
              </w:rPr>
              <w:t>898</w:t>
            </w:r>
            <w:r w:rsidRPr="00FC7F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a-GE"/>
              </w:rPr>
              <w:t>,</w:t>
            </w:r>
            <w:r w:rsidR="00D651F7" w:rsidRPr="00FC7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D651F7" w:rsidRPr="00FC7F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a-GE"/>
              </w:rPr>
              <w:t>6</w:t>
            </w:r>
            <w:r w:rsidRPr="00FC7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E428CD" w:rsidRPr="00FC7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576720" w:rsidRPr="00C367E2" w:rsidTr="00054AB0">
        <w:trPr>
          <w:trHeight w:val="300"/>
        </w:trPr>
        <w:tc>
          <w:tcPr>
            <w:tcW w:w="3539" w:type="pct"/>
            <w:hideMark/>
          </w:tcPr>
          <w:p w:rsidR="00576720" w:rsidRPr="00C367E2" w:rsidRDefault="00576720" w:rsidP="00054AB0">
            <w:pPr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სახაზინო ფასიანი ქაღალდები</w:t>
            </w:r>
          </w:p>
        </w:tc>
        <w:tc>
          <w:tcPr>
            <w:tcW w:w="1461" w:type="pct"/>
            <w:hideMark/>
          </w:tcPr>
          <w:p w:rsidR="00576720" w:rsidRPr="00FC7F30" w:rsidRDefault="00746294" w:rsidP="00D651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ka-GE"/>
              </w:rPr>
            </w:pPr>
            <w:r w:rsidRPr="00FC7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FC7F30">
              <w:rPr>
                <w:rFonts w:ascii="Arial" w:hAnsi="Arial" w:cs="Arial"/>
                <w:b/>
                <w:color w:val="000000"/>
                <w:sz w:val="20"/>
                <w:szCs w:val="20"/>
                <w:lang w:val="ka-GE"/>
              </w:rPr>
              <w:t>,</w:t>
            </w:r>
            <w:r w:rsidR="00D651F7" w:rsidRPr="00FC7F30">
              <w:rPr>
                <w:rFonts w:ascii="Arial" w:hAnsi="Arial" w:cs="Arial"/>
                <w:b/>
                <w:color w:val="000000"/>
                <w:sz w:val="20"/>
                <w:szCs w:val="20"/>
                <w:lang w:val="ka-GE"/>
              </w:rPr>
              <w:t>430</w:t>
            </w:r>
            <w:r w:rsidRPr="00FC7F30">
              <w:rPr>
                <w:rFonts w:ascii="Arial" w:hAnsi="Arial" w:cs="Arial"/>
                <w:b/>
                <w:color w:val="000000"/>
                <w:sz w:val="20"/>
                <w:szCs w:val="20"/>
                <w:lang w:val="ka-GE"/>
              </w:rPr>
              <w:t>,</w:t>
            </w:r>
            <w:r w:rsidR="004464CC" w:rsidRPr="00FC7F30">
              <w:rPr>
                <w:rFonts w:ascii="Arial" w:hAnsi="Arial" w:cs="Arial"/>
                <w:b/>
                <w:color w:val="000000"/>
                <w:sz w:val="20"/>
                <w:szCs w:val="20"/>
                <w:lang w:val="ka-GE"/>
              </w:rPr>
              <w:t>4</w:t>
            </w:r>
            <w:r w:rsidR="00D651F7" w:rsidRPr="00FC7F30">
              <w:rPr>
                <w:rFonts w:ascii="Arial" w:hAnsi="Arial" w:cs="Arial"/>
                <w:b/>
                <w:color w:val="000000"/>
                <w:sz w:val="20"/>
                <w:szCs w:val="20"/>
                <w:lang w:val="ka-GE"/>
              </w:rPr>
              <w:t>2</w:t>
            </w:r>
            <w:r w:rsidRPr="00FC7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FC7F30">
              <w:rPr>
                <w:rFonts w:ascii="Arial" w:hAnsi="Arial" w:cs="Arial"/>
                <w:b/>
                <w:color w:val="000000"/>
                <w:sz w:val="20"/>
                <w:szCs w:val="20"/>
                <w:lang w:val="ka-GE"/>
              </w:rPr>
              <w:t>.0</w:t>
            </w:r>
          </w:p>
        </w:tc>
      </w:tr>
      <w:tr w:rsidR="004464CC" w:rsidRPr="00C367E2" w:rsidTr="00054AB0">
        <w:trPr>
          <w:trHeight w:val="276"/>
        </w:trPr>
        <w:tc>
          <w:tcPr>
            <w:tcW w:w="3539" w:type="pct"/>
            <w:noWrap/>
          </w:tcPr>
          <w:p w:rsidR="004464CC" w:rsidRPr="00C367E2" w:rsidRDefault="004464CC" w:rsidP="00054AB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</w:t>
            </w:r>
          </w:p>
        </w:tc>
        <w:tc>
          <w:tcPr>
            <w:tcW w:w="1461" w:type="pct"/>
          </w:tcPr>
          <w:p w:rsidR="004464CC" w:rsidRPr="00FC7F30" w:rsidRDefault="004464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F30">
              <w:rPr>
                <w:rFonts w:ascii="Arial" w:hAnsi="Arial" w:cs="Arial"/>
                <w:color w:val="000000"/>
                <w:sz w:val="20"/>
                <w:szCs w:val="20"/>
              </w:rPr>
              <w:t>120,000.0</w:t>
            </w:r>
          </w:p>
        </w:tc>
      </w:tr>
      <w:tr w:rsidR="004464CC" w:rsidRPr="00C367E2" w:rsidTr="00054AB0">
        <w:trPr>
          <w:trHeight w:val="276"/>
        </w:trPr>
        <w:tc>
          <w:tcPr>
            <w:tcW w:w="3539" w:type="pct"/>
            <w:noWrap/>
            <w:hideMark/>
          </w:tcPr>
          <w:p w:rsidR="004464CC" w:rsidRPr="00C367E2" w:rsidRDefault="004464CC" w:rsidP="00054AB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12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</w:t>
            </w:r>
          </w:p>
        </w:tc>
        <w:tc>
          <w:tcPr>
            <w:tcW w:w="1461" w:type="pct"/>
            <w:hideMark/>
          </w:tcPr>
          <w:p w:rsidR="004464CC" w:rsidRPr="00FC7F30" w:rsidRDefault="00D651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F30">
              <w:rPr>
                <w:rFonts w:ascii="Arial" w:hAnsi="Arial" w:cs="Arial"/>
                <w:color w:val="000000"/>
                <w:sz w:val="20"/>
                <w:szCs w:val="20"/>
                <w:lang w:val="ka-GE"/>
              </w:rPr>
              <w:t>585</w:t>
            </w:r>
            <w:r w:rsidR="004464CC" w:rsidRPr="00FC7F30">
              <w:rPr>
                <w:rFonts w:ascii="Arial" w:hAnsi="Arial" w:cs="Arial"/>
                <w:color w:val="000000"/>
                <w:sz w:val="20"/>
                <w:szCs w:val="20"/>
              </w:rPr>
              <w:t>,000.0</w:t>
            </w:r>
          </w:p>
        </w:tc>
      </w:tr>
      <w:tr w:rsidR="004464CC" w:rsidRPr="00C367E2" w:rsidTr="00054AB0">
        <w:trPr>
          <w:trHeight w:val="223"/>
        </w:trPr>
        <w:tc>
          <w:tcPr>
            <w:tcW w:w="3539" w:type="pct"/>
            <w:noWrap/>
            <w:hideMark/>
          </w:tcPr>
          <w:p w:rsidR="004464CC" w:rsidRPr="00C367E2" w:rsidRDefault="004464CC" w:rsidP="00054AB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ობლიგაციები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61" w:type="pct"/>
            <w:hideMark/>
          </w:tcPr>
          <w:p w:rsidR="004464CC" w:rsidRPr="00FC7F30" w:rsidRDefault="00D651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F30">
              <w:rPr>
                <w:rFonts w:ascii="Arial" w:hAnsi="Arial" w:cs="Arial"/>
                <w:color w:val="000000"/>
                <w:sz w:val="20"/>
                <w:szCs w:val="20"/>
                <w:lang w:val="ka-GE"/>
              </w:rPr>
              <w:t>699</w:t>
            </w:r>
            <w:r w:rsidR="004464CC" w:rsidRPr="00FC7F30">
              <w:rPr>
                <w:rFonts w:ascii="Arial" w:hAnsi="Arial" w:cs="Arial"/>
                <w:color w:val="000000"/>
                <w:sz w:val="20"/>
                <w:szCs w:val="20"/>
              </w:rPr>
              <w:t>,400.0</w:t>
            </w:r>
          </w:p>
        </w:tc>
      </w:tr>
      <w:tr w:rsidR="004464CC" w:rsidRPr="00C367E2" w:rsidTr="00054AB0">
        <w:trPr>
          <w:trHeight w:val="223"/>
        </w:trPr>
        <w:tc>
          <w:tcPr>
            <w:tcW w:w="3539" w:type="pct"/>
            <w:noWrap/>
            <w:hideMark/>
          </w:tcPr>
          <w:p w:rsidR="004464CC" w:rsidRPr="00C367E2" w:rsidRDefault="004464CC" w:rsidP="00054AB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5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4464CC" w:rsidRPr="00FC7F30" w:rsidRDefault="00D651F7" w:rsidP="00D651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F30">
              <w:rPr>
                <w:rFonts w:ascii="Arial" w:hAnsi="Arial" w:cs="Arial"/>
                <w:color w:val="000000"/>
                <w:sz w:val="20"/>
                <w:szCs w:val="20"/>
                <w:lang w:val="ka-GE"/>
              </w:rPr>
              <w:t>773</w:t>
            </w:r>
            <w:r w:rsidR="004464CC" w:rsidRPr="00FC7F30"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  <w:r w:rsidRPr="00FC7F30">
              <w:rPr>
                <w:rFonts w:ascii="Arial" w:hAnsi="Arial" w:cs="Arial"/>
                <w:color w:val="000000"/>
                <w:sz w:val="20"/>
                <w:szCs w:val="20"/>
                <w:lang w:val="ka-GE"/>
              </w:rPr>
              <w:t>0</w:t>
            </w:r>
            <w:r w:rsidR="004464CC" w:rsidRPr="00FC7F30"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4464CC" w:rsidRPr="00C367E2" w:rsidTr="00054AB0">
        <w:trPr>
          <w:trHeight w:val="223"/>
        </w:trPr>
        <w:tc>
          <w:tcPr>
            <w:tcW w:w="3539" w:type="pct"/>
            <w:noWrap/>
            <w:hideMark/>
          </w:tcPr>
          <w:p w:rsidR="004464CC" w:rsidRPr="00C367E2" w:rsidRDefault="004464CC" w:rsidP="00054AB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10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4464CC" w:rsidRPr="00FC7F30" w:rsidRDefault="00D651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F30">
              <w:rPr>
                <w:rFonts w:ascii="Arial" w:hAnsi="Arial" w:cs="Arial"/>
                <w:color w:val="000000"/>
                <w:sz w:val="20"/>
                <w:szCs w:val="20"/>
                <w:lang w:val="ka-GE"/>
              </w:rPr>
              <w:t>252</w:t>
            </w:r>
            <w:r w:rsidR="004464CC" w:rsidRPr="00FC7F30">
              <w:rPr>
                <w:rFonts w:ascii="Arial" w:hAnsi="Arial" w:cs="Arial"/>
                <w:color w:val="000000"/>
                <w:sz w:val="20"/>
                <w:szCs w:val="20"/>
              </w:rPr>
              <w:t>,520.0</w:t>
            </w:r>
          </w:p>
        </w:tc>
      </w:tr>
      <w:tr w:rsidR="00576720" w:rsidRPr="00C367E2" w:rsidTr="00746294">
        <w:trPr>
          <w:trHeight w:val="297"/>
        </w:trPr>
        <w:tc>
          <w:tcPr>
            <w:tcW w:w="3539" w:type="pct"/>
            <w:hideMark/>
          </w:tcPr>
          <w:p w:rsidR="00576720" w:rsidRPr="00C367E2" w:rsidRDefault="00576720" w:rsidP="00054AB0">
            <w:pPr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სხვა სახელმწიფო ფასიანი ქაღალდები</w:t>
            </w:r>
          </w:p>
        </w:tc>
        <w:tc>
          <w:tcPr>
            <w:tcW w:w="1461" w:type="pct"/>
          </w:tcPr>
          <w:p w:rsidR="00576720" w:rsidRPr="00FC7F30" w:rsidRDefault="00D651F7" w:rsidP="004464C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7F30">
              <w:rPr>
                <w:rFonts w:ascii="Arial" w:hAnsi="Arial" w:cs="Arial"/>
                <w:b/>
                <w:color w:val="000000"/>
                <w:sz w:val="20"/>
                <w:szCs w:val="20"/>
                <w:lang w:val="ka-GE"/>
              </w:rPr>
              <w:t>467</w:t>
            </w:r>
            <w:r w:rsidR="00746294" w:rsidRPr="00FC7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,846.0</w:t>
            </w:r>
          </w:p>
        </w:tc>
      </w:tr>
      <w:tr w:rsidR="00576720" w:rsidRPr="00C367E2" w:rsidTr="00054AB0">
        <w:trPr>
          <w:trHeight w:val="245"/>
        </w:trPr>
        <w:tc>
          <w:tcPr>
            <w:tcW w:w="3539" w:type="pct"/>
            <w:hideMark/>
          </w:tcPr>
          <w:p w:rsidR="00576720" w:rsidRPr="00C367E2" w:rsidRDefault="00576720" w:rsidP="00054AB0">
            <w:pPr>
              <w:rPr>
                <w:rFonts w:ascii="Sylfaen" w:eastAsia="Times New Roman" w:hAnsi="Sylfaen" w:cs="Arial"/>
                <w:sz w:val="18"/>
                <w:szCs w:val="18"/>
              </w:rPr>
            </w:pPr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სახელმწიფო ობლიგაცია სებ-</w:t>
            </w:r>
            <w:r w:rsidRPr="00C367E2"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>ს</w:t>
            </w:r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თვის</w:t>
            </w:r>
          </w:p>
        </w:tc>
        <w:tc>
          <w:tcPr>
            <w:tcW w:w="1461" w:type="pct"/>
            <w:hideMark/>
          </w:tcPr>
          <w:p w:rsidR="00576720" w:rsidRPr="00FC7F30" w:rsidRDefault="005767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F30">
              <w:rPr>
                <w:rFonts w:ascii="Arial" w:hAnsi="Arial" w:cs="Arial"/>
                <w:color w:val="000000"/>
                <w:sz w:val="20"/>
                <w:szCs w:val="20"/>
              </w:rPr>
              <w:t>320,846.0</w:t>
            </w:r>
          </w:p>
        </w:tc>
      </w:tr>
      <w:tr w:rsidR="00576720" w:rsidRPr="00C367E2" w:rsidTr="00054AB0">
        <w:trPr>
          <w:trHeight w:val="245"/>
        </w:trPr>
        <w:tc>
          <w:tcPr>
            <w:tcW w:w="3539" w:type="pct"/>
            <w:hideMark/>
          </w:tcPr>
          <w:p w:rsidR="00576720" w:rsidRPr="00C367E2" w:rsidRDefault="00576720" w:rsidP="00054AB0">
            <w:pPr>
              <w:rPr>
                <w:rFonts w:ascii="Sylfaen" w:eastAsia="Times New Roman" w:hAnsi="Sylfaen" w:cs="Arial"/>
                <w:sz w:val="18"/>
                <w:szCs w:val="18"/>
              </w:rPr>
            </w:pPr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სახელმწიფო ობლიგაციები ღია ბაზრის ოპერაციებისთვის</w:t>
            </w:r>
          </w:p>
        </w:tc>
        <w:tc>
          <w:tcPr>
            <w:tcW w:w="1461" w:type="pct"/>
            <w:hideMark/>
          </w:tcPr>
          <w:p w:rsidR="00576720" w:rsidRPr="00FC7F30" w:rsidRDefault="00D651F7" w:rsidP="004464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F30">
              <w:rPr>
                <w:rFonts w:ascii="Arial" w:hAnsi="Arial" w:cs="Arial"/>
                <w:color w:val="000000"/>
                <w:sz w:val="20"/>
                <w:szCs w:val="20"/>
                <w:lang w:val="ka-GE"/>
              </w:rPr>
              <w:t>147</w:t>
            </w:r>
            <w:r w:rsidR="00576720" w:rsidRPr="00FC7F30">
              <w:rPr>
                <w:rFonts w:ascii="Arial" w:hAnsi="Arial" w:cs="Arial"/>
                <w:color w:val="000000"/>
                <w:sz w:val="20"/>
                <w:szCs w:val="20"/>
              </w:rPr>
              <w:t>,000.0</w:t>
            </w:r>
          </w:p>
        </w:tc>
      </w:tr>
    </w:tbl>
    <w:p w:rsidR="00F26066" w:rsidRPr="00C367E2" w:rsidRDefault="00F26066" w:rsidP="00F26066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EC701B" w:rsidRPr="00C367E2" w:rsidRDefault="00EC701B" w:rsidP="00AE3BBE">
      <w:pPr>
        <w:tabs>
          <w:tab w:val="left" w:pos="720"/>
        </w:tabs>
        <w:spacing w:after="0"/>
        <w:jc w:val="both"/>
        <w:rPr>
          <w:rFonts w:ascii="Sylfaen" w:hAnsi="Sylfaen" w:cs="Sylfaen"/>
          <w:lang w:val="ka-GE"/>
        </w:rPr>
      </w:pPr>
    </w:p>
    <w:p w:rsidR="00D57A95" w:rsidRDefault="00D57A95" w:rsidP="00F26066">
      <w:pPr>
        <w:tabs>
          <w:tab w:val="left" w:pos="720"/>
        </w:tabs>
        <w:spacing w:after="0"/>
        <w:ind w:firstLine="540"/>
        <w:jc w:val="both"/>
        <w:rPr>
          <w:rFonts w:ascii="Sylfaen" w:hAnsi="Sylfaen" w:cs="Sylfaen"/>
          <w:lang w:val="ka-GE"/>
        </w:rPr>
      </w:pPr>
    </w:p>
    <w:p w:rsidR="005E0A52" w:rsidRPr="004464CC" w:rsidRDefault="00F26066" w:rsidP="00F26066">
      <w:pPr>
        <w:tabs>
          <w:tab w:val="left" w:pos="720"/>
        </w:tabs>
        <w:spacing w:after="0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201</w:t>
      </w:r>
      <w:r w:rsidR="000D046A" w:rsidRPr="004464CC">
        <w:rPr>
          <w:rFonts w:ascii="Sylfaen" w:hAnsi="Sylfaen" w:cs="Sylfaen"/>
        </w:rPr>
        <w:t>7</w:t>
      </w:r>
      <w:r w:rsidRPr="004464CC">
        <w:rPr>
          <w:rFonts w:ascii="Sylfaen" w:hAnsi="Sylfaen" w:cs="Sylfaen"/>
          <w:lang w:val="ka-GE"/>
        </w:rPr>
        <w:t xml:space="preserve"> წლის </w:t>
      </w:r>
      <w:r w:rsidR="00D651F7">
        <w:rPr>
          <w:rFonts w:ascii="Sylfaen" w:hAnsi="Sylfaen" w:cs="Sylfaen"/>
          <w:lang w:val="ka-GE"/>
        </w:rPr>
        <w:t>31</w:t>
      </w:r>
      <w:r w:rsidR="004033E5" w:rsidRPr="004464CC">
        <w:rPr>
          <w:rFonts w:ascii="Sylfaen" w:hAnsi="Sylfaen" w:cs="Sylfaen"/>
          <w:lang w:val="ka-GE"/>
        </w:rPr>
        <w:t xml:space="preserve"> </w:t>
      </w:r>
      <w:r w:rsidR="00D651F7">
        <w:rPr>
          <w:rFonts w:ascii="Sylfaen" w:hAnsi="Sylfaen" w:cs="Sylfaen"/>
          <w:lang w:val="ka-GE"/>
        </w:rPr>
        <w:t>დეკემბრის</w:t>
      </w:r>
      <w:r w:rsidR="000D046A" w:rsidRPr="004464CC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 xml:space="preserve">მდგომარეობით, </w:t>
      </w:r>
      <w:r w:rsidR="005E0A52" w:rsidRPr="004464CC">
        <w:rPr>
          <w:rFonts w:ascii="Sylfaen" w:hAnsi="Sylfaen" w:cs="Sylfaen"/>
          <w:lang w:val="ka-GE"/>
        </w:rPr>
        <w:t xml:space="preserve">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D651F7" w:rsidRPr="00D651F7">
        <w:rPr>
          <w:rFonts w:ascii="Sylfaen" w:hAnsi="Sylfaen" w:cs="Sylfaen"/>
          <w:lang w:val="ka-GE"/>
        </w:rPr>
        <w:t>1</w:t>
      </w:r>
      <w:r w:rsidR="00D651F7">
        <w:rPr>
          <w:rFonts w:ascii="Sylfaen" w:hAnsi="Sylfaen" w:cs="Sylfaen"/>
          <w:lang w:val="ka-GE"/>
        </w:rPr>
        <w:t>,</w:t>
      </w:r>
      <w:r w:rsidR="00D651F7" w:rsidRPr="00D651F7">
        <w:rPr>
          <w:rFonts w:ascii="Sylfaen" w:hAnsi="Sylfaen" w:cs="Sylfaen"/>
          <w:lang w:val="ka-GE"/>
        </w:rPr>
        <w:t>448</w:t>
      </w:r>
      <w:r w:rsidR="00D651F7">
        <w:rPr>
          <w:rFonts w:ascii="Sylfaen" w:hAnsi="Sylfaen" w:cs="Sylfaen"/>
          <w:lang w:val="ka-GE"/>
        </w:rPr>
        <w:t>,</w:t>
      </w:r>
      <w:r w:rsidR="00D651F7" w:rsidRPr="00D651F7">
        <w:rPr>
          <w:rFonts w:ascii="Sylfaen" w:hAnsi="Sylfaen" w:cs="Sylfaen"/>
          <w:lang w:val="ka-GE"/>
        </w:rPr>
        <w:t>006.</w:t>
      </w:r>
      <w:r w:rsidR="00D651F7">
        <w:rPr>
          <w:rFonts w:ascii="Sylfaen" w:hAnsi="Sylfaen" w:cs="Sylfaen"/>
          <w:lang w:val="ka-GE"/>
        </w:rPr>
        <w:t>4</w:t>
      </w:r>
      <w:r w:rsidR="004464CC" w:rsidRPr="004464CC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ათასი ლარი,</w:t>
      </w:r>
      <w:r w:rsidR="00746294" w:rsidRPr="004464CC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>ძირითადი თანხის დაფარვა</w:t>
      </w:r>
      <w:r w:rsidR="005E0A52" w:rsidRPr="004464CC">
        <w:rPr>
          <w:rFonts w:ascii="Sylfaen" w:hAnsi="Sylfaen" w:cs="Sylfaen"/>
          <w:lang w:val="ka-GE"/>
        </w:rPr>
        <w:t>მ</w:t>
      </w:r>
      <w:r w:rsidRPr="004464CC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კი</w:t>
      </w:r>
      <w:r w:rsidR="001F3BCB" w:rsidRPr="004464CC">
        <w:rPr>
          <w:rFonts w:ascii="Sylfaen" w:hAnsi="Sylfaen" w:cs="Sylfaen"/>
        </w:rPr>
        <w:t xml:space="preserve"> </w:t>
      </w:r>
      <w:r w:rsidR="00D651F7">
        <w:rPr>
          <w:rFonts w:ascii="Sylfaen" w:hAnsi="Sylfaen" w:cs="Sylfaen"/>
          <w:lang w:val="ka-GE"/>
        </w:rPr>
        <w:t xml:space="preserve">1,048,512.5 </w:t>
      </w:r>
      <w:r w:rsidRPr="004464CC">
        <w:rPr>
          <w:rFonts w:ascii="Sylfaen" w:hAnsi="Sylfaen" w:cs="Sylfaen"/>
          <w:lang w:val="ka-GE"/>
        </w:rPr>
        <w:t>ათასი ლარი</w:t>
      </w:r>
      <w:r w:rsidR="00746294" w:rsidRPr="004464CC">
        <w:rPr>
          <w:rFonts w:ascii="Sylfaen" w:hAnsi="Sylfaen" w:cs="Sylfaen"/>
          <w:lang w:val="ka-GE"/>
        </w:rPr>
        <w:t xml:space="preserve">. </w:t>
      </w:r>
      <w:r w:rsidR="005E0A52" w:rsidRPr="004464CC">
        <w:rPr>
          <w:rFonts w:ascii="Sylfaen" w:hAnsi="Sylfaen" w:cs="Sylfaen"/>
          <w:lang w:val="ka-GE"/>
        </w:rPr>
        <w:t>შესაბამისად</w:t>
      </w:r>
      <w:r w:rsidR="001B2633" w:rsidRPr="004464CC">
        <w:rPr>
          <w:rFonts w:ascii="Sylfaen" w:hAnsi="Sylfaen" w:cs="Sylfaen"/>
        </w:rPr>
        <w:t>,</w:t>
      </w:r>
      <w:r w:rsidR="005E0A52" w:rsidRPr="004464CC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ზრდა</w:t>
      </w:r>
      <w:r w:rsidR="00746294" w:rsidRPr="004464CC">
        <w:rPr>
          <w:rFonts w:ascii="Sylfaen" w:hAnsi="Sylfaen" w:cs="Sylfaen"/>
          <w:lang w:val="ka-GE"/>
        </w:rPr>
        <w:t xml:space="preserve"> </w:t>
      </w:r>
      <w:r w:rsidR="00D651F7" w:rsidRPr="00D651F7">
        <w:rPr>
          <w:rFonts w:ascii="Sylfaen" w:hAnsi="Sylfaen" w:cs="Sylfaen"/>
          <w:lang w:val="ka-GE"/>
        </w:rPr>
        <w:t>399</w:t>
      </w:r>
      <w:r w:rsidR="00D651F7">
        <w:rPr>
          <w:rFonts w:ascii="Sylfaen" w:hAnsi="Sylfaen" w:cs="Sylfaen"/>
          <w:lang w:val="ka-GE"/>
        </w:rPr>
        <w:t>,</w:t>
      </w:r>
      <w:r w:rsidR="00D651F7" w:rsidRPr="00D651F7">
        <w:rPr>
          <w:rFonts w:ascii="Sylfaen" w:hAnsi="Sylfaen" w:cs="Sylfaen"/>
          <w:lang w:val="ka-GE"/>
        </w:rPr>
        <w:t>493.</w:t>
      </w:r>
      <w:r w:rsidR="00D651F7">
        <w:rPr>
          <w:rFonts w:ascii="Sylfaen" w:hAnsi="Sylfaen" w:cs="Sylfaen"/>
          <w:lang w:val="ka-GE"/>
        </w:rPr>
        <w:t xml:space="preserve">9 </w:t>
      </w:r>
      <w:r w:rsidR="005E0A52" w:rsidRPr="004464CC">
        <w:rPr>
          <w:rFonts w:ascii="Sylfaen" w:hAnsi="Sylfaen" w:cs="Sylfaen"/>
          <w:lang w:val="ka-GE"/>
        </w:rPr>
        <w:t>ათას</w:t>
      </w:r>
      <w:r w:rsidR="00746294" w:rsidRPr="004464CC">
        <w:rPr>
          <w:rFonts w:ascii="Sylfaen" w:hAnsi="Sylfaen" w:cs="Sylfaen"/>
          <w:lang w:val="ka-GE"/>
        </w:rPr>
        <w:t>ი</w:t>
      </w:r>
      <w:r w:rsidR="005E0A52" w:rsidRPr="004464CC">
        <w:rPr>
          <w:rFonts w:ascii="Sylfaen" w:hAnsi="Sylfaen" w:cs="Sylfaen"/>
          <w:lang w:val="ka-GE"/>
        </w:rPr>
        <w:t xml:space="preserve"> ლარით განისაზღვრა.</w:t>
      </w:r>
    </w:p>
    <w:p w:rsidR="00F26066" w:rsidRPr="009531BC" w:rsidRDefault="005E0A52" w:rsidP="00F26066">
      <w:pPr>
        <w:tabs>
          <w:tab w:val="left" w:pos="720"/>
        </w:tabs>
        <w:spacing w:after="0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საანგარიშო პერიოდში განხორციელდა</w:t>
      </w:r>
      <w:r w:rsidR="00F26066" w:rsidRPr="004464CC">
        <w:rPr>
          <w:rFonts w:ascii="Sylfaen" w:hAnsi="Sylfaen" w:cs="Sylfaen"/>
          <w:lang w:val="ka-GE"/>
        </w:rPr>
        <w:t xml:space="preserve"> სახელმწიფო ობლიგაციების ძირითადი თანხის დაფარვა (სებ-ის მიმართ ვალი) </w:t>
      </w:r>
      <w:r w:rsidR="00D651F7">
        <w:rPr>
          <w:rFonts w:ascii="Sylfaen" w:hAnsi="Sylfaen" w:cs="Sylfaen"/>
          <w:lang w:val="ka-GE"/>
        </w:rPr>
        <w:t>35</w:t>
      </w:r>
      <w:r w:rsidR="00F26066" w:rsidRPr="004464CC">
        <w:rPr>
          <w:rFonts w:ascii="Sylfaen" w:hAnsi="Sylfaen" w:cs="Sylfaen"/>
          <w:lang w:val="ka-GE"/>
        </w:rPr>
        <w:t>,000.0 ათასი ლარის ოდენობით, საქართველოს მთავრობის და საქართველოს ეროვნული ბანკის 2006 წლის 15 მაისის „საქართველოს მთავრობის საქართველოს ეროვნული ბანკისადმი დავალიანების დაფარვის ღონისძიებების შესახებ“</w:t>
      </w:r>
      <w:r w:rsidR="00F26066" w:rsidRPr="009531BC">
        <w:rPr>
          <w:rFonts w:ascii="Sylfaen" w:hAnsi="Sylfaen" w:cs="Sylfaen"/>
          <w:lang w:val="ka-GE"/>
        </w:rPr>
        <w:t xml:space="preserve"> 2006 წლის 20 მარტის შეთანხმებაში ცვლილებების შეტანის თაობაზე“ შეთანხმების შესაბამისად. </w:t>
      </w:r>
    </w:p>
    <w:p w:rsidR="00F26066" w:rsidRPr="00C367E2" w:rsidRDefault="00F26066" w:rsidP="00F26066">
      <w:pPr>
        <w:tabs>
          <w:tab w:val="left" w:pos="720"/>
        </w:tabs>
        <w:spacing w:after="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9531BC">
        <w:rPr>
          <w:rFonts w:ascii="Sylfaen" w:hAnsi="Sylfaen" w:cs="Sylfaen"/>
          <w:lang w:val="ka-GE"/>
        </w:rPr>
        <w:tab/>
      </w:r>
    </w:p>
    <w:p w:rsidR="00F26066" w:rsidRDefault="00F26066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EC701B" w:rsidRDefault="00EC701B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EC701B" w:rsidRDefault="00EC701B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EC701B" w:rsidRDefault="00EC701B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EC701B" w:rsidRDefault="00EC701B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4D26F9" w:rsidRDefault="004D26F9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4D26F9" w:rsidRDefault="004D26F9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4D26F9" w:rsidRDefault="004D26F9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4D26F9" w:rsidRDefault="004D26F9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4D26F9" w:rsidRDefault="004D26F9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4D26F9" w:rsidRDefault="004D26F9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4D26F9" w:rsidRDefault="004D26F9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4D26F9" w:rsidRDefault="004D26F9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4D26F9" w:rsidRPr="004D26F9" w:rsidRDefault="004D26F9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EC701B" w:rsidRDefault="00EC701B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2B6DAE" w:rsidRDefault="002B6DAE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2B6DAE" w:rsidRDefault="002B6DAE" w:rsidP="00F260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F6697A" w:rsidRDefault="000340AB" w:rsidP="00F6697A">
      <w:pPr>
        <w:spacing w:after="0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</w:pPr>
      <w:r w:rsidRPr="00B4160B">
        <w:rPr>
          <w:rFonts w:ascii="Sylfaen" w:hAnsi="Sylfaen"/>
          <w:b/>
          <w:lang w:val="ka-GE"/>
        </w:rPr>
        <w:lastRenderedPageBreak/>
        <w:t>სახელმწიფო ვალის</w:t>
      </w:r>
      <w:r>
        <w:rPr>
          <w:rFonts w:ascii="Sylfaen" w:hAnsi="Sylfaen"/>
          <w:b/>
          <w:lang w:val="ka-GE"/>
        </w:rPr>
        <w:t xml:space="preserve"> </w:t>
      </w:r>
      <w:r w:rsidR="0032795B">
        <w:rPr>
          <w:rFonts w:ascii="Sylfaen" w:hAnsi="Sylfaen"/>
          <w:b/>
          <w:lang w:val="ka-GE"/>
        </w:rPr>
        <w:t>ნაშთი</w:t>
      </w:r>
      <w:r w:rsidR="0032795B" w:rsidRPr="00B4160B">
        <w:rPr>
          <w:rFonts w:ascii="Sylfaen" w:hAnsi="Sylfaen"/>
          <w:b/>
          <w:lang w:val="ka-GE"/>
        </w:rPr>
        <w:t xml:space="preserve"> </w:t>
      </w:r>
      <w:r w:rsidR="001A397F" w:rsidRPr="00B4160B">
        <w:rPr>
          <w:rFonts w:ascii="Sylfaen" w:hAnsi="Sylfaen"/>
          <w:b/>
          <w:lang w:val="ka-GE"/>
        </w:rPr>
        <w:t>201</w:t>
      </w:r>
      <w:r w:rsidR="001A397F">
        <w:rPr>
          <w:rFonts w:ascii="Sylfaen" w:hAnsi="Sylfaen"/>
          <w:b/>
          <w:lang w:val="ka-GE"/>
        </w:rPr>
        <w:t>7</w:t>
      </w:r>
      <w:r w:rsidR="001A397F" w:rsidRPr="00B4160B">
        <w:rPr>
          <w:rFonts w:ascii="Sylfaen" w:hAnsi="Sylfaen"/>
          <w:b/>
          <w:lang w:val="ka-GE"/>
        </w:rPr>
        <w:t xml:space="preserve"> </w:t>
      </w:r>
      <w:r w:rsidRPr="00B4160B">
        <w:rPr>
          <w:rFonts w:ascii="Sylfaen" w:hAnsi="Sylfaen"/>
          <w:b/>
          <w:lang w:val="ka-GE"/>
        </w:rPr>
        <w:t xml:space="preserve">წლის </w:t>
      </w:r>
      <w:r w:rsidR="00F86EDF">
        <w:rPr>
          <w:rFonts w:ascii="Sylfaen" w:hAnsi="Sylfaen"/>
          <w:b/>
          <w:lang w:val="ka-GE"/>
        </w:rPr>
        <w:t>31</w:t>
      </w:r>
      <w:r w:rsidR="004033E5">
        <w:rPr>
          <w:rFonts w:ascii="Sylfaen" w:hAnsi="Sylfaen"/>
          <w:b/>
          <w:lang w:val="ka-GE"/>
        </w:rPr>
        <w:t xml:space="preserve"> </w:t>
      </w:r>
      <w:r w:rsidR="00F86EDF">
        <w:rPr>
          <w:rFonts w:ascii="Sylfaen" w:hAnsi="Sylfaen"/>
          <w:b/>
          <w:lang w:val="ka-GE"/>
        </w:rPr>
        <w:t>დეკემბრის</w:t>
      </w:r>
      <w:r w:rsidR="001A397F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მდგომარეობით</w:t>
      </w:r>
    </w:p>
    <w:p w:rsidR="00173BAA" w:rsidRDefault="00B3130D" w:rsidP="00B3130D">
      <w:pPr>
        <w:spacing w:after="0"/>
        <w:ind w:left="5040" w:firstLine="720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  <w:t xml:space="preserve">                        </w:t>
      </w:r>
      <w:r w:rsidR="00173BAA" w:rsidRPr="00F66BF1"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  <w:t>ათასი ლარი</w:t>
      </w:r>
    </w:p>
    <w:p w:rsidR="00C52BA0" w:rsidRDefault="00F86EDF" w:rsidP="00A6278E">
      <w:pPr>
        <w:spacing w:after="0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</w:pPr>
      <w:r w:rsidRPr="00F86EDF">
        <w:rPr>
          <w:noProof/>
        </w:rPr>
        <w:drawing>
          <wp:inline distT="0" distB="0" distL="0" distR="0">
            <wp:extent cx="5391150" cy="8029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557" w:rsidRDefault="00B04141" w:rsidP="00A6278E">
      <w:pPr>
        <w:spacing w:after="0"/>
        <w:jc w:val="center"/>
        <w:rPr>
          <w:rFonts w:ascii="Sylfaen" w:hAnsi="Sylfaen" w:cs="Sylfaen"/>
          <w:color w:val="FF0000"/>
          <w:sz w:val="18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t xml:space="preserve">  </w:t>
      </w:r>
    </w:p>
    <w:p w:rsidR="00DB1C54" w:rsidRPr="00D42125" w:rsidRDefault="00DB1C54" w:rsidP="000340AB">
      <w:pPr>
        <w:spacing w:after="0"/>
        <w:ind w:firstLine="720"/>
        <w:rPr>
          <w:rFonts w:ascii="Sylfaen" w:hAnsi="Sylfaen" w:cs="Sylfaen"/>
          <w:color w:val="FF0000"/>
          <w:sz w:val="18"/>
          <w:lang w:val="ka-GE"/>
        </w:rPr>
      </w:pPr>
    </w:p>
    <w:p w:rsidR="000340AB" w:rsidRDefault="000340AB" w:rsidP="00D57A95">
      <w:pPr>
        <w:spacing w:after="0"/>
        <w:rPr>
          <w:rFonts w:ascii="Sylfaen" w:hAnsi="Sylfaen" w:cs="Sylfaen"/>
          <w:i/>
          <w:sz w:val="16"/>
          <w:szCs w:val="16"/>
          <w:lang w:val="ka-GE"/>
        </w:rPr>
      </w:pPr>
      <w:r w:rsidRPr="00B01FEA">
        <w:rPr>
          <w:rFonts w:ascii="Sylfaen" w:hAnsi="Sylfaen" w:cs="Sylfaen"/>
          <w:i/>
          <w:sz w:val="16"/>
          <w:szCs w:val="16"/>
        </w:rPr>
        <w:t>შენიშვნა</w:t>
      </w:r>
      <w:r w:rsidRPr="00B01FEA">
        <w:rPr>
          <w:i/>
          <w:sz w:val="16"/>
          <w:szCs w:val="16"/>
        </w:rPr>
        <w:t xml:space="preserve">: </w:t>
      </w:r>
      <w:r w:rsidRPr="00B01FEA">
        <w:rPr>
          <w:rFonts w:ascii="Sylfaen" w:hAnsi="Sylfaen" w:cs="Sylfaen"/>
          <w:i/>
          <w:sz w:val="16"/>
          <w:szCs w:val="16"/>
        </w:rPr>
        <w:t>ცხრილში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გამოყენებულია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სავალუტო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კურსები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მოცემული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თარიღისათვის</w:t>
      </w:r>
      <w:r w:rsidR="002B6DAE">
        <w:rPr>
          <w:rFonts w:ascii="Sylfaen" w:hAnsi="Sylfaen" w:cs="Sylfaen"/>
          <w:i/>
          <w:sz w:val="16"/>
          <w:szCs w:val="16"/>
          <w:lang w:val="ka-GE"/>
        </w:rPr>
        <w:t>;</w:t>
      </w:r>
    </w:p>
    <w:p w:rsidR="009B1B48" w:rsidRPr="00D57A95" w:rsidRDefault="002B6DAE" w:rsidP="0080503E">
      <w:pPr>
        <w:autoSpaceDE w:val="0"/>
        <w:autoSpaceDN w:val="0"/>
        <w:adjustRightInd w:val="0"/>
        <w:spacing w:after="0" w:line="240" w:lineRule="auto"/>
        <w:ind w:left="720"/>
        <w:rPr>
          <w:rFonts w:ascii="Sylfaen" w:hAnsi="Sylfaen" w:cs="Sylfaen"/>
          <w:i/>
          <w:sz w:val="16"/>
          <w:szCs w:val="16"/>
          <w:lang w:val="ka-GE"/>
        </w:rPr>
      </w:pPr>
      <w:r w:rsidRPr="00D57A95">
        <w:rPr>
          <w:rFonts w:ascii="Sylfaen" w:hAnsi="Sylfaen" w:cs="Sylfaen"/>
          <w:i/>
          <w:sz w:val="16"/>
          <w:szCs w:val="16"/>
        </w:rPr>
        <w:t>ე. წ. „ისტორიული ვალის“ მოცულობა  საორიენტაციოა, ვინაიდან ამ კატეგორიის უმეტესი ნაწილი დასაზუსტებელია</w:t>
      </w:r>
    </w:p>
    <w:sectPr w:rsidR="009B1B48" w:rsidRPr="00D57A95" w:rsidSect="005C2F91">
      <w:footerReference w:type="default" r:id="rId13"/>
      <w:pgSz w:w="11907" w:h="16839" w:code="9"/>
      <w:pgMar w:top="630" w:right="1275" w:bottom="42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CE" w:rsidRDefault="00F672CE" w:rsidP="00400BED">
      <w:pPr>
        <w:spacing w:after="0" w:line="240" w:lineRule="auto"/>
      </w:pPr>
      <w:r>
        <w:separator/>
      </w:r>
    </w:p>
  </w:endnote>
  <w:endnote w:type="continuationSeparator" w:id="0">
    <w:p w:rsidR="00F672CE" w:rsidRDefault="00F672CE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665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12E7" w:rsidRDefault="002612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B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12E7" w:rsidRDefault="0026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CE" w:rsidRDefault="00F672CE" w:rsidP="00400BED">
      <w:pPr>
        <w:spacing w:after="0" w:line="240" w:lineRule="auto"/>
      </w:pPr>
      <w:r>
        <w:separator/>
      </w:r>
    </w:p>
  </w:footnote>
  <w:footnote w:type="continuationSeparator" w:id="0">
    <w:p w:rsidR="00F672CE" w:rsidRDefault="00F672CE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30CF6"/>
    <w:rsid w:val="000340AB"/>
    <w:rsid w:val="0003606D"/>
    <w:rsid w:val="00036CFD"/>
    <w:rsid w:val="00037587"/>
    <w:rsid w:val="00040C4B"/>
    <w:rsid w:val="00044F01"/>
    <w:rsid w:val="000458CE"/>
    <w:rsid w:val="00054AB0"/>
    <w:rsid w:val="00064717"/>
    <w:rsid w:val="00065901"/>
    <w:rsid w:val="0006735B"/>
    <w:rsid w:val="00071A4F"/>
    <w:rsid w:val="00071D1D"/>
    <w:rsid w:val="00071DD7"/>
    <w:rsid w:val="00073EEF"/>
    <w:rsid w:val="00074A14"/>
    <w:rsid w:val="0007519C"/>
    <w:rsid w:val="000771C9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F64"/>
    <w:rsid w:val="000B16F8"/>
    <w:rsid w:val="000B2189"/>
    <w:rsid w:val="000B567A"/>
    <w:rsid w:val="000B6954"/>
    <w:rsid w:val="000B6CAA"/>
    <w:rsid w:val="000C139F"/>
    <w:rsid w:val="000C57D0"/>
    <w:rsid w:val="000D046A"/>
    <w:rsid w:val="000D159E"/>
    <w:rsid w:val="000D1A17"/>
    <w:rsid w:val="000D4D25"/>
    <w:rsid w:val="000D7D26"/>
    <w:rsid w:val="000E0438"/>
    <w:rsid w:val="000E4DAD"/>
    <w:rsid w:val="000E7432"/>
    <w:rsid w:val="000E7E49"/>
    <w:rsid w:val="000F00E4"/>
    <w:rsid w:val="000F13F4"/>
    <w:rsid w:val="000F55BB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347B"/>
    <w:rsid w:val="00137ED5"/>
    <w:rsid w:val="00140A2F"/>
    <w:rsid w:val="00144098"/>
    <w:rsid w:val="001441DC"/>
    <w:rsid w:val="00145367"/>
    <w:rsid w:val="001536D0"/>
    <w:rsid w:val="00154312"/>
    <w:rsid w:val="00157433"/>
    <w:rsid w:val="00162FC7"/>
    <w:rsid w:val="0016733A"/>
    <w:rsid w:val="001673DC"/>
    <w:rsid w:val="00173BAA"/>
    <w:rsid w:val="001763B0"/>
    <w:rsid w:val="00181ECC"/>
    <w:rsid w:val="00182832"/>
    <w:rsid w:val="00187C1C"/>
    <w:rsid w:val="00193364"/>
    <w:rsid w:val="0019661E"/>
    <w:rsid w:val="00197E9D"/>
    <w:rsid w:val="001A2AFB"/>
    <w:rsid w:val="001A3600"/>
    <w:rsid w:val="001A397F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61BA"/>
    <w:rsid w:val="001E62A2"/>
    <w:rsid w:val="001E6933"/>
    <w:rsid w:val="001F1323"/>
    <w:rsid w:val="001F3BCB"/>
    <w:rsid w:val="00200F18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22"/>
    <w:rsid w:val="0024488E"/>
    <w:rsid w:val="00247C11"/>
    <w:rsid w:val="0025039F"/>
    <w:rsid w:val="00256FDD"/>
    <w:rsid w:val="002612E7"/>
    <w:rsid w:val="00262BF3"/>
    <w:rsid w:val="00263EAD"/>
    <w:rsid w:val="00270120"/>
    <w:rsid w:val="002758CB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EE6"/>
    <w:rsid w:val="002C2F60"/>
    <w:rsid w:val="002C41C2"/>
    <w:rsid w:val="002C7782"/>
    <w:rsid w:val="002D15C8"/>
    <w:rsid w:val="002D16E4"/>
    <w:rsid w:val="002D22B9"/>
    <w:rsid w:val="002D6813"/>
    <w:rsid w:val="002E3E75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75F6E"/>
    <w:rsid w:val="00377B9F"/>
    <w:rsid w:val="00382167"/>
    <w:rsid w:val="003838EC"/>
    <w:rsid w:val="00387352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5A7C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6472"/>
    <w:rsid w:val="00425B8C"/>
    <w:rsid w:val="00425E7D"/>
    <w:rsid w:val="00426244"/>
    <w:rsid w:val="00427DC2"/>
    <w:rsid w:val="004324BD"/>
    <w:rsid w:val="00441218"/>
    <w:rsid w:val="004439FD"/>
    <w:rsid w:val="00445CA6"/>
    <w:rsid w:val="004464CC"/>
    <w:rsid w:val="004611B5"/>
    <w:rsid w:val="00462A0C"/>
    <w:rsid w:val="00465BB1"/>
    <w:rsid w:val="00466050"/>
    <w:rsid w:val="00466B57"/>
    <w:rsid w:val="00470E61"/>
    <w:rsid w:val="00471D7F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59A6"/>
    <w:rsid w:val="004D17A6"/>
    <w:rsid w:val="004D26F9"/>
    <w:rsid w:val="004D7B47"/>
    <w:rsid w:val="004E2497"/>
    <w:rsid w:val="004E422E"/>
    <w:rsid w:val="004F5AB2"/>
    <w:rsid w:val="0050185A"/>
    <w:rsid w:val="00501E22"/>
    <w:rsid w:val="005131CE"/>
    <w:rsid w:val="00515451"/>
    <w:rsid w:val="005165EB"/>
    <w:rsid w:val="00523560"/>
    <w:rsid w:val="0053399C"/>
    <w:rsid w:val="00534D33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2F91"/>
    <w:rsid w:val="005C46D1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42C4"/>
    <w:rsid w:val="00615CCA"/>
    <w:rsid w:val="006168BD"/>
    <w:rsid w:val="006202AE"/>
    <w:rsid w:val="006204B4"/>
    <w:rsid w:val="00621E8E"/>
    <w:rsid w:val="00623F0F"/>
    <w:rsid w:val="00626122"/>
    <w:rsid w:val="006268F4"/>
    <w:rsid w:val="0063481F"/>
    <w:rsid w:val="0064753E"/>
    <w:rsid w:val="00651040"/>
    <w:rsid w:val="0065336E"/>
    <w:rsid w:val="006546E7"/>
    <w:rsid w:val="006578EC"/>
    <w:rsid w:val="00661B66"/>
    <w:rsid w:val="006663B1"/>
    <w:rsid w:val="00667DDB"/>
    <w:rsid w:val="00673822"/>
    <w:rsid w:val="006776FE"/>
    <w:rsid w:val="00682DC8"/>
    <w:rsid w:val="006830DB"/>
    <w:rsid w:val="00684B33"/>
    <w:rsid w:val="006859B7"/>
    <w:rsid w:val="00686D87"/>
    <w:rsid w:val="0068719D"/>
    <w:rsid w:val="00693321"/>
    <w:rsid w:val="00693542"/>
    <w:rsid w:val="00694AB3"/>
    <w:rsid w:val="006A0EC7"/>
    <w:rsid w:val="006A1E01"/>
    <w:rsid w:val="006A3476"/>
    <w:rsid w:val="006A41DE"/>
    <w:rsid w:val="006A47A2"/>
    <w:rsid w:val="006A7D49"/>
    <w:rsid w:val="006B398B"/>
    <w:rsid w:val="006C2FB0"/>
    <w:rsid w:val="006C6499"/>
    <w:rsid w:val="006C77A4"/>
    <w:rsid w:val="006D2512"/>
    <w:rsid w:val="006D3126"/>
    <w:rsid w:val="006D6E25"/>
    <w:rsid w:val="006D734B"/>
    <w:rsid w:val="006E02C4"/>
    <w:rsid w:val="006E1782"/>
    <w:rsid w:val="006E79C7"/>
    <w:rsid w:val="006F1443"/>
    <w:rsid w:val="006F1A93"/>
    <w:rsid w:val="006F2BB7"/>
    <w:rsid w:val="006F334D"/>
    <w:rsid w:val="006F34C1"/>
    <w:rsid w:val="006F4151"/>
    <w:rsid w:val="006F4202"/>
    <w:rsid w:val="006F4803"/>
    <w:rsid w:val="006F576F"/>
    <w:rsid w:val="006F5BEB"/>
    <w:rsid w:val="006F6D3E"/>
    <w:rsid w:val="00700C95"/>
    <w:rsid w:val="007039CE"/>
    <w:rsid w:val="00704DD2"/>
    <w:rsid w:val="00705B9D"/>
    <w:rsid w:val="0070689E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7314"/>
    <w:rsid w:val="007449DE"/>
    <w:rsid w:val="00746294"/>
    <w:rsid w:val="007464DB"/>
    <w:rsid w:val="00746651"/>
    <w:rsid w:val="007638B2"/>
    <w:rsid w:val="00764192"/>
    <w:rsid w:val="007643C1"/>
    <w:rsid w:val="00771909"/>
    <w:rsid w:val="007720D8"/>
    <w:rsid w:val="00780B7F"/>
    <w:rsid w:val="0078542F"/>
    <w:rsid w:val="00790043"/>
    <w:rsid w:val="007A0D67"/>
    <w:rsid w:val="007A32FD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881"/>
    <w:rsid w:val="007E711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6C90"/>
    <w:rsid w:val="0083184C"/>
    <w:rsid w:val="008330FC"/>
    <w:rsid w:val="00836A37"/>
    <w:rsid w:val="008405A5"/>
    <w:rsid w:val="008416A6"/>
    <w:rsid w:val="00844751"/>
    <w:rsid w:val="0085157F"/>
    <w:rsid w:val="008546EC"/>
    <w:rsid w:val="008564DE"/>
    <w:rsid w:val="00862004"/>
    <w:rsid w:val="00864429"/>
    <w:rsid w:val="0086615D"/>
    <w:rsid w:val="00866340"/>
    <w:rsid w:val="00866C5D"/>
    <w:rsid w:val="00871B7C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2C36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40B9"/>
    <w:rsid w:val="008E772B"/>
    <w:rsid w:val="008F0B91"/>
    <w:rsid w:val="00903ED6"/>
    <w:rsid w:val="00905BCC"/>
    <w:rsid w:val="00907532"/>
    <w:rsid w:val="0091662B"/>
    <w:rsid w:val="009274F9"/>
    <w:rsid w:val="00927EE7"/>
    <w:rsid w:val="009330E5"/>
    <w:rsid w:val="009335FA"/>
    <w:rsid w:val="00935F0A"/>
    <w:rsid w:val="00941504"/>
    <w:rsid w:val="009453D8"/>
    <w:rsid w:val="009531BC"/>
    <w:rsid w:val="0096271C"/>
    <w:rsid w:val="0096590B"/>
    <w:rsid w:val="009660A9"/>
    <w:rsid w:val="009734FB"/>
    <w:rsid w:val="009816B7"/>
    <w:rsid w:val="00982850"/>
    <w:rsid w:val="00982E29"/>
    <w:rsid w:val="00986AAF"/>
    <w:rsid w:val="009917B8"/>
    <w:rsid w:val="00991B14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D1D40"/>
    <w:rsid w:val="009D383C"/>
    <w:rsid w:val="009D5407"/>
    <w:rsid w:val="009D575E"/>
    <w:rsid w:val="009D66CB"/>
    <w:rsid w:val="009D72B5"/>
    <w:rsid w:val="009E49DA"/>
    <w:rsid w:val="009E5F2B"/>
    <w:rsid w:val="009F1D79"/>
    <w:rsid w:val="009F6AC0"/>
    <w:rsid w:val="009F7E90"/>
    <w:rsid w:val="00A04E5E"/>
    <w:rsid w:val="00A1081B"/>
    <w:rsid w:val="00A13C99"/>
    <w:rsid w:val="00A145F4"/>
    <w:rsid w:val="00A2021C"/>
    <w:rsid w:val="00A2126C"/>
    <w:rsid w:val="00A26B28"/>
    <w:rsid w:val="00A304CC"/>
    <w:rsid w:val="00A30759"/>
    <w:rsid w:val="00A32DCB"/>
    <w:rsid w:val="00A404B7"/>
    <w:rsid w:val="00A45EB8"/>
    <w:rsid w:val="00A5293F"/>
    <w:rsid w:val="00A56E3B"/>
    <w:rsid w:val="00A6278E"/>
    <w:rsid w:val="00A63967"/>
    <w:rsid w:val="00A67F51"/>
    <w:rsid w:val="00A74699"/>
    <w:rsid w:val="00A751B7"/>
    <w:rsid w:val="00A761DC"/>
    <w:rsid w:val="00A854D8"/>
    <w:rsid w:val="00A85818"/>
    <w:rsid w:val="00A87F14"/>
    <w:rsid w:val="00A90B92"/>
    <w:rsid w:val="00A90C44"/>
    <w:rsid w:val="00A93CD1"/>
    <w:rsid w:val="00AA1660"/>
    <w:rsid w:val="00AB0A72"/>
    <w:rsid w:val="00AB4534"/>
    <w:rsid w:val="00AB5A99"/>
    <w:rsid w:val="00AC1154"/>
    <w:rsid w:val="00AC2209"/>
    <w:rsid w:val="00AD0BC4"/>
    <w:rsid w:val="00AD2D43"/>
    <w:rsid w:val="00AD5E57"/>
    <w:rsid w:val="00AE3BBE"/>
    <w:rsid w:val="00AF30B1"/>
    <w:rsid w:val="00AF5E40"/>
    <w:rsid w:val="00AF5FB1"/>
    <w:rsid w:val="00AF76B7"/>
    <w:rsid w:val="00AF7D69"/>
    <w:rsid w:val="00B008EF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30876"/>
    <w:rsid w:val="00B3130D"/>
    <w:rsid w:val="00B32432"/>
    <w:rsid w:val="00B44750"/>
    <w:rsid w:val="00B44900"/>
    <w:rsid w:val="00B460EB"/>
    <w:rsid w:val="00B502E6"/>
    <w:rsid w:val="00B5085B"/>
    <w:rsid w:val="00B55FD3"/>
    <w:rsid w:val="00B60154"/>
    <w:rsid w:val="00B61F3B"/>
    <w:rsid w:val="00B64DB8"/>
    <w:rsid w:val="00B662F1"/>
    <w:rsid w:val="00B6654D"/>
    <w:rsid w:val="00B67339"/>
    <w:rsid w:val="00B72782"/>
    <w:rsid w:val="00B73877"/>
    <w:rsid w:val="00B741CD"/>
    <w:rsid w:val="00B7509F"/>
    <w:rsid w:val="00B76574"/>
    <w:rsid w:val="00B830F8"/>
    <w:rsid w:val="00B84C15"/>
    <w:rsid w:val="00B95192"/>
    <w:rsid w:val="00B95528"/>
    <w:rsid w:val="00BA297C"/>
    <w:rsid w:val="00BA6094"/>
    <w:rsid w:val="00BB4019"/>
    <w:rsid w:val="00BC132A"/>
    <w:rsid w:val="00BC168E"/>
    <w:rsid w:val="00BC505C"/>
    <w:rsid w:val="00BC5E24"/>
    <w:rsid w:val="00BC764D"/>
    <w:rsid w:val="00BD1D05"/>
    <w:rsid w:val="00BD3C50"/>
    <w:rsid w:val="00BD7F9C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C0434C"/>
    <w:rsid w:val="00C04FBA"/>
    <w:rsid w:val="00C11D79"/>
    <w:rsid w:val="00C126E1"/>
    <w:rsid w:val="00C13117"/>
    <w:rsid w:val="00C136E3"/>
    <w:rsid w:val="00C17F88"/>
    <w:rsid w:val="00C21AE9"/>
    <w:rsid w:val="00C31756"/>
    <w:rsid w:val="00C31F7F"/>
    <w:rsid w:val="00C337ED"/>
    <w:rsid w:val="00C367E2"/>
    <w:rsid w:val="00C36A3D"/>
    <w:rsid w:val="00C37E2F"/>
    <w:rsid w:val="00C42DBB"/>
    <w:rsid w:val="00C44420"/>
    <w:rsid w:val="00C4579F"/>
    <w:rsid w:val="00C52BA0"/>
    <w:rsid w:val="00C644C6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91918"/>
    <w:rsid w:val="00C9602D"/>
    <w:rsid w:val="00CA4A72"/>
    <w:rsid w:val="00CA65F9"/>
    <w:rsid w:val="00CA70A1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3A41"/>
    <w:rsid w:val="00D01070"/>
    <w:rsid w:val="00D0479D"/>
    <w:rsid w:val="00D04E46"/>
    <w:rsid w:val="00D05684"/>
    <w:rsid w:val="00D059C8"/>
    <w:rsid w:val="00D10101"/>
    <w:rsid w:val="00D1142C"/>
    <w:rsid w:val="00D12397"/>
    <w:rsid w:val="00D207EF"/>
    <w:rsid w:val="00D21BD3"/>
    <w:rsid w:val="00D2609D"/>
    <w:rsid w:val="00D261E7"/>
    <w:rsid w:val="00D26939"/>
    <w:rsid w:val="00D31A08"/>
    <w:rsid w:val="00D32336"/>
    <w:rsid w:val="00D3238E"/>
    <w:rsid w:val="00D34895"/>
    <w:rsid w:val="00D42125"/>
    <w:rsid w:val="00D47CCE"/>
    <w:rsid w:val="00D539F2"/>
    <w:rsid w:val="00D53A3C"/>
    <w:rsid w:val="00D55D57"/>
    <w:rsid w:val="00D568BA"/>
    <w:rsid w:val="00D57A95"/>
    <w:rsid w:val="00D62208"/>
    <w:rsid w:val="00D628D5"/>
    <w:rsid w:val="00D651F7"/>
    <w:rsid w:val="00D66DD7"/>
    <w:rsid w:val="00D677AE"/>
    <w:rsid w:val="00D713F6"/>
    <w:rsid w:val="00D729AB"/>
    <w:rsid w:val="00D73825"/>
    <w:rsid w:val="00D77528"/>
    <w:rsid w:val="00D8089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C24F5"/>
    <w:rsid w:val="00DC3604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28CD"/>
    <w:rsid w:val="00E4452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57B0"/>
    <w:rsid w:val="00E9045D"/>
    <w:rsid w:val="00EA2D25"/>
    <w:rsid w:val="00EA388F"/>
    <w:rsid w:val="00EA65D7"/>
    <w:rsid w:val="00EB0470"/>
    <w:rsid w:val="00EB1B0E"/>
    <w:rsid w:val="00EB2E2F"/>
    <w:rsid w:val="00EB4097"/>
    <w:rsid w:val="00EB7421"/>
    <w:rsid w:val="00EC0C5D"/>
    <w:rsid w:val="00EC2EC2"/>
    <w:rsid w:val="00EC5B6F"/>
    <w:rsid w:val="00EC701B"/>
    <w:rsid w:val="00ED0545"/>
    <w:rsid w:val="00ED0857"/>
    <w:rsid w:val="00ED39B6"/>
    <w:rsid w:val="00ED3F2C"/>
    <w:rsid w:val="00ED69D4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31FF"/>
    <w:rsid w:val="00F34EAC"/>
    <w:rsid w:val="00F35BA9"/>
    <w:rsid w:val="00F37717"/>
    <w:rsid w:val="00F446F1"/>
    <w:rsid w:val="00F51E84"/>
    <w:rsid w:val="00F51EBA"/>
    <w:rsid w:val="00F57C06"/>
    <w:rsid w:val="00F6697A"/>
    <w:rsid w:val="00F66BF1"/>
    <w:rsid w:val="00F672CE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6ABC"/>
    <w:rsid w:val="00FA7488"/>
    <w:rsid w:val="00FA74FF"/>
    <w:rsid w:val="00FC40F7"/>
    <w:rsid w:val="00FC7F30"/>
    <w:rsid w:val="00FD0340"/>
    <w:rsid w:val="00FD1BE5"/>
    <w:rsid w:val="00FD412B"/>
    <w:rsid w:val="00FD4331"/>
    <w:rsid w:val="00FD538A"/>
    <w:rsid w:val="00FD6622"/>
    <w:rsid w:val="00FD6A02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AB0DD"/>
  <w15:docId w15:val="{125ECDB9-31C4-4C5C-8026-F9D0E20F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21%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  <a:endParaRPr lang="ka-GE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5877157499950911"/>
                  <c:y val="-2.962962962962963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/>
                      <a:t>ორმხრივი
13%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0.14029659385127649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9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b="0">
                        <a:solidFill>
                          <a:sysClr val="windowText" lastClr="000000"/>
                        </a:solidFill>
                      </a:rPr>
                      <a:t>ევრობონდი
8 %</a:t>
                    </a:r>
                    <a:endParaRPr lang="ka-GE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10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  <a:endParaRPr lang="ka-GE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ka-GE" sz="1000" b="0" i="0" u="none" strike="noStrike" baseline="0"/>
              <a:t>საპროცენტო განაკვეთის ტიპი</a:t>
            </a:r>
            <a:endParaRPr lang="en-US" sz="1000" b="0"/>
          </a:p>
        </c:rich>
      </c:tx>
      <c:layout>
        <c:manualLayout>
          <c:xMode val="edge"/>
          <c:yMode val="edge"/>
          <c:x val="0.18627450980392157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7261626080522"/>
          <c:y val="0.16151019584090451"/>
          <c:w val="0.82278336829517917"/>
          <c:h val="0.8063058433485287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11-4977-804C-34D50D70DA1E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111-4977-804C-34D50D70DA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11-4977-804C-34D50D70DA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98305084745763E-2"/>
          <c:y val="0.15456354847881718"/>
          <c:w val="0.85911294986431797"/>
          <c:h val="0.8407742819466304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135-4EC4-BCDC-FED9CE56D583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135-4EC4-BCDC-FED9CE56D583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135-4EC4-BCDC-FED9CE56D583}"/>
              </c:ext>
            </c:extLst>
          </c:dPt>
          <c:dLbls>
            <c:dLbl>
              <c:idx val="0"/>
              <c:layout>
                <c:manualLayout>
                  <c:x val="-0.19585086445538424"/>
                  <c:y val="4.0305241247772993E-3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35-4EC4-BCDC-FED9CE56D583}"/>
                </c:ext>
              </c:extLst>
            </c:dLbl>
            <c:dLbl>
              <c:idx val="1"/>
              <c:layout>
                <c:manualLayout>
                  <c:x val="0.13309132968548418"/>
                  <c:y val="-0.2372933266765026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35-4EC4-BCDC-FED9CE56D583}"/>
                </c:ext>
              </c:extLst>
            </c:dLbl>
            <c:dLbl>
              <c:idx val="2"/>
              <c:layout>
                <c:manualLayout>
                  <c:x val="0.12841229592063705"/>
                  <c:y val="0.1427106584665259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35-4EC4-BCDC-FED9CE56D583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135-4EC4-BCDC-FED9CE56D583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DEC!$K$44:$K$47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DEC!$M$44:$M$47</c:f>
              <c:numCache>
                <c:formatCode>0%</c:formatCode>
                <c:ptCount val="4"/>
                <c:pt idx="0">
                  <c:v>0.21712880855188721</c:v>
                </c:pt>
                <c:pt idx="1">
                  <c:v>0.40705923562443291</c:v>
                </c:pt>
                <c:pt idx="2">
                  <c:v>0.33237384684853694</c:v>
                </c:pt>
                <c:pt idx="3">
                  <c:v>4.3438108975142921E-2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135-4EC4-BCDC-FED9CE56D583}"/>
            </c:ext>
          </c:extLst>
        </c:ser>
        <c:ser>
          <c:idx val="1"/>
          <c:order val="1"/>
          <c:explosion val="25"/>
          <c:cat>
            <c:strRef>
              <c:f>DEC!$K$44:$K$47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DEC!$M$46:$M$49</c:f>
              <c:numCache>
                <c:formatCode>0%</c:formatCode>
                <c:ptCount val="4"/>
                <c:pt idx="0">
                  <c:v>0.33237384684853694</c:v>
                </c:pt>
                <c:pt idx="1">
                  <c:v>4.3438108975142921E-2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135-4EC4-BCDC-FED9CE56D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0.1067</cdr:x>
      <cdr:y>0.03086</cdr:y>
    </cdr:from>
    <cdr:to>
      <cdr:x>1</cdr:x>
      <cdr:y>0.16444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9851" y="68920"/>
          <a:ext cx="2008049" cy="2983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10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1000" b="0">
            <a:effectLst/>
          </a:endParaRPr>
        </a:p>
        <a:p xmlns:a="http://schemas.openxmlformats.org/drawingml/2006/main"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369B-880B-4193-9079-A668A90A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Shanshiashvili</dc:creator>
  <cp:lastModifiedBy>Inga Gurgenidze</cp:lastModifiedBy>
  <cp:revision>11</cp:revision>
  <cp:lastPrinted>2018-05-15T13:28:00Z</cp:lastPrinted>
  <dcterms:created xsi:type="dcterms:W3CDTF">2018-03-21T10:20:00Z</dcterms:created>
  <dcterms:modified xsi:type="dcterms:W3CDTF">2018-05-15T15:27:00Z</dcterms:modified>
</cp:coreProperties>
</file>